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4B1C1" w14:textId="77777777" w:rsidR="004877F1" w:rsidRPr="004877F1" w:rsidRDefault="004877F1" w:rsidP="00F34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</w:p>
    <w:p w14:paraId="7023F008" w14:textId="1906CD78" w:rsidR="004877F1" w:rsidRPr="004877F1" w:rsidRDefault="00DB7F20" w:rsidP="00F34A5C">
      <w:pPr>
        <w:shd w:val="clear" w:color="auto" w:fill="FFFFFF"/>
        <w:spacing w:after="160" w:line="235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ro-RO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ro-RO"/>
        </w:rPr>
        <w:t>UB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ro-RO"/>
        </w:rPr>
        <w:t>co-</w:t>
      </w:r>
      <w:r w:rsidR="004877F1"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ro-RO"/>
        </w:rPr>
        <w:t>organizator</w:t>
      </w:r>
      <w:proofErr w:type="spellEnd"/>
      <w:r w:rsidR="004877F1"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ro-RO"/>
        </w:rPr>
        <w:t xml:space="preserve"> al </w:t>
      </w:r>
      <w:proofErr w:type="spellStart"/>
      <w:r w:rsidR="004877F1"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ro-RO"/>
        </w:rPr>
        <w:t>colocviului</w:t>
      </w:r>
      <w:proofErr w:type="spellEnd"/>
      <w:r w:rsidR="004877F1"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ro-RO"/>
        </w:rPr>
        <w:t xml:space="preserve"> </w:t>
      </w:r>
      <w:proofErr w:type="spellStart"/>
      <w:r w:rsidR="004877F1"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ro-RO"/>
        </w:rPr>
        <w:t>internațional</w:t>
      </w:r>
      <w:proofErr w:type="spellEnd"/>
      <w:r w:rsidR="004877F1"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ro-RO"/>
        </w:rPr>
        <w:t> „</w:t>
      </w:r>
      <w:r w:rsidR="004877F1" w:rsidRPr="004877F1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fr-FR" w:eastAsia="ro-RO"/>
        </w:rPr>
        <w:t>Globalisation des idées révolutionnaires dans le sillage napoléonien</w:t>
      </w:r>
      <w:r w:rsidR="004877F1"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ro-RO"/>
        </w:rPr>
        <w:t>”</w:t>
      </w:r>
      <w:r w:rsid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ro-RO"/>
        </w:rPr>
        <w:t xml:space="preserve"> </w:t>
      </w:r>
    </w:p>
    <w:p w14:paraId="0F10E085" w14:textId="77777777" w:rsidR="004877F1" w:rsidRPr="004877F1" w:rsidRDefault="004877F1" w:rsidP="00F34A5C">
      <w:pPr>
        <w:shd w:val="clear" w:color="auto" w:fill="FFFFFF"/>
        <w:spacing w:after="160"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</w:p>
    <w:p w14:paraId="386CCF73" w14:textId="33DD43E9" w:rsidR="004877F1" w:rsidRPr="004877F1" w:rsidRDefault="004877F1" w:rsidP="00F34A5C">
      <w:pPr>
        <w:shd w:val="clear" w:color="auto" w:fill="FFFFFF"/>
        <w:spacing w:after="160" w:line="235" w:lineRule="atLeast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</w:pPr>
      <w:r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În perioada</w:t>
      </w:r>
      <w:r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 14-15 octombrie 2021</w:t>
      </w:r>
      <w:r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,</w:t>
      </w:r>
      <w:r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 </w:t>
      </w:r>
      <w:r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Universitatea din București </w:t>
      </w:r>
      <w:r w:rsidR="00DB7F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organizează alături </w:t>
      </w:r>
      <w:r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de Institutul Național de Limbi și Civilizații</w:t>
      </w:r>
      <w:r w:rsidR="00DB7F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 Orientale (</w:t>
      </w:r>
      <w:proofErr w:type="spellStart"/>
      <w:r w:rsidR="00DB7F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INALCO</w:t>
      </w:r>
      <w:proofErr w:type="spellEnd"/>
      <w:r w:rsidR="00DB7F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) de la Paris</w:t>
      </w:r>
      <w:r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 și de Institutul de Studii Avansate pentru Cultura și Civilizația Leva</w:t>
      </w:r>
      <w:r w:rsidR="00DB7F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ntului (</w:t>
      </w:r>
      <w:proofErr w:type="spellStart"/>
      <w:r w:rsidR="00DB7F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ISACCL</w:t>
      </w:r>
      <w:proofErr w:type="spellEnd"/>
      <w:r w:rsidR="00DB7F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) de la București</w:t>
      </w:r>
      <w:r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 colocviu</w:t>
      </w:r>
      <w:r w:rsidR="00DB7F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l internațional</w:t>
      </w:r>
      <w:r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 intitulat </w:t>
      </w:r>
      <w:r w:rsidRPr="004877F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fr-FR" w:eastAsia="ro-RO"/>
        </w:rPr>
        <w:t>Globalisation des idées révolutionnaires dans le sillage napoléonien: les années 1820 de Balkans à la Cordillera</w:t>
      </w:r>
      <w:r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.</w:t>
      </w:r>
    </w:p>
    <w:p w14:paraId="2DBC6894" w14:textId="5B7E73CC" w:rsidR="004877F1" w:rsidRPr="004877F1" w:rsidRDefault="00DB7F20" w:rsidP="00F34A5C">
      <w:pPr>
        <w:shd w:val="clear" w:color="auto" w:fill="FFFFFF"/>
        <w:spacing w:after="160" w:line="235" w:lineRule="atLeast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Manifestarea științifică cu</w:t>
      </w:r>
      <w:r w:rsidR="004877F1"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 </w:t>
      </w:r>
      <w:r w:rsidR="004877F1"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>tema diseminării ideilor revoluționare franceze pe mapamond la începutul veacului al XIX-lea</w:t>
      </w:r>
      <w:r w:rsidR="004877F1"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, pornind din estul european până în America Latină </w:t>
      </w:r>
      <w:r w:rsidR="004877F1" w:rsidRPr="004877F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fr-FR" w:eastAsia="ro-RO"/>
        </w:rPr>
        <w:t>va</w:t>
      </w:r>
      <w:r w:rsidR="004877F1"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 fi găzduită</w:t>
      </w:r>
      <w:r w:rsidR="004877F1"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 </w:t>
      </w:r>
      <w:r w:rsidR="004877F1"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de </w:t>
      </w:r>
      <w:r w:rsidR="004877F1"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Institutul Național de Limbi și Civilizații Orientale (2 </w:t>
      </w:r>
      <w:proofErr w:type="spellStart"/>
      <w:r w:rsidR="004877F1"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>Rue</w:t>
      </w:r>
      <w:proofErr w:type="spellEnd"/>
      <w:r w:rsidR="004877F1"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 de Lille, 75007) </w:t>
      </w:r>
      <w:r w:rsidR="004877F1"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de la</w:t>
      </w:r>
      <w:r w:rsidR="004877F1"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 Paris</w:t>
      </w:r>
      <w:r w:rsidR="004877F1"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.</w:t>
      </w:r>
    </w:p>
    <w:p w14:paraId="7A0F5801" w14:textId="6F177D0B" w:rsidR="00F34A5C" w:rsidRPr="004877F1" w:rsidRDefault="004877F1" w:rsidP="00F34A5C">
      <w:pPr>
        <w:shd w:val="clear" w:color="auto" w:fill="FFFFFF"/>
        <w:spacing w:after="160" w:line="235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</w:pPr>
      <w:r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La acest eveniment, Universitatea din București va fi reprezentată de un grup de cadre didactice de la </w:t>
      </w:r>
      <w:r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>Facultatea de Istorie</w:t>
      </w:r>
      <w:r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 și de la </w:t>
      </w:r>
      <w:r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>Facultatea de Științe Politice</w:t>
      </w:r>
      <w:r w:rsidR="00687DD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 </w:t>
      </w:r>
      <w:r w:rsidR="00DB7F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>format din:</w:t>
      </w:r>
      <w:r w:rsidR="00687DD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 </w:t>
      </w:r>
      <w:r w:rsidR="00687DD4" w:rsidRPr="00687DD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conf. univ. dr. </w:t>
      </w:r>
      <w:r w:rsidRPr="00687DD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 </w:t>
      </w:r>
      <w:r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>Florica (</w:t>
      </w:r>
      <w:proofErr w:type="spellStart"/>
      <w:r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>Bohîlțea</w:t>
      </w:r>
      <w:proofErr w:type="spellEnd"/>
      <w:r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>) Mihuț</w:t>
      </w:r>
      <w:r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, </w:t>
      </w:r>
      <w:r w:rsidR="00687DD4" w:rsidRPr="00687DD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prof. univ. dr. </w:t>
      </w:r>
      <w:r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Ligia Livadă, </w:t>
      </w:r>
      <w:r w:rsidR="00687DD4" w:rsidRPr="00687DD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lect. univ. dr. </w:t>
      </w:r>
      <w:r w:rsidR="00DB7F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Radu </w:t>
      </w:r>
      <w:proofErr w:type="spellStart"/>
      <w:r w:rsidR="00DB7F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>Nedici</w:t>
      </w:r>
      <w:proofErr w:type="spellEnd"/>
      <w:r w:rsidR="00DB7F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 și</w:t>
      </w:r>
      <w:r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 </w:t>
      </w:r>
      <w:r w:rsidR="00687DD4" w:rsidRPr="00687DD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lect. univ. dr. </w:t>
      </w:r>
      <w:r w:rsidRPr="004877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>Vladimir Crețulescu.</w:t>
      </w:r>
    </w:p>
    <w:p w14:paraId="3004D167" w14:textId="4F562DD2" w:rsidR="004877F1" w:rsidRDefault="004877F1" w:rsidP="00F34A5C">
      <w:pPr>
        <w:shd w:val="clear" w:color="auto" w:fill="FFFFFF"/>
        <w:spacing w:after="160" w:line="235" w:lineRule="atLeast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</w:pPr>
      <w:r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Reunind specialiști din prestigioase instituții academice și de cercetare din Franța, Turcia, Columbia, colocviul are un dublu obiectiv. Pe de o parte, se dorește</w:t>
      </w:r>
      <w:r w:rsidR="00DB7F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 a fi</w:t>
      </w:r>
      <w:r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 un cadru de expunere și dezbatere privitoare la conținuturile secvențelor istorice </w:t>
      </w:r>
      <w:proofErr w:type="spellStart"/>
      <w:r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postnapoleoniene</w:t>
      </w:r>
      <w:proofErr w:type="spellEnd"/>
      <w:r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 și la actorii umani care au jucat un rol important în propagarea unui set de valori fondatoare ale mod</w:t>
      </w:r>
      <w:r w:rsidR="00DB7F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ernismului în Europa și în lume, </w:t>
      </w:r>
      <w:bookmarkStart w:id="0" w:name="_GoBack"/>
      <w:bookmarkEnd w:id="0"/>
      <w:r w:rsidRPr="004877F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pe de altă parte, evenimentul prilejuiește reunirea unor perspective și metode de abordare a procesului schimbării politice și culturale a lumii în debutul secolului al XIX-lea.</w:t>
      </w:r>
    </w:p>
    <w:p w14:paraId="73B3999B" w14:textId="57D1A9AB" w:rsidR="00687DD4" w:rsidRPr="004877F1" w:rsidRDefault="00687DD4" w:rsidP="00F34A5C">
      <w:pPr>
        <w:shd w:val="clear" w:color="auto" w:fill="FFFFFF"/>
        <w:spacing w:after="160"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Programul evenimentului, precum și alte informații despre prelegere pot fi accesate </w:t>
      </w:r>
      <w:hyperlink r:id="rId5" w:history="1">
        <w:r w:rsidRPr="00687DD4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 w:eastAsia="ro-RO"/>
          </w:rPr>
          <w:t>aici.</w:t>
        </w:r>
      </w:hyperlink>
    </w:p>
    <w:p w14:paraId="591FE9F3" w14:textId="77777777" w:rsidR="004877F1" w:rsidRPr="004877F1" w:rsidRDefault="004877F1" w:rsidP="004877F1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Calibri"/>
          <w:color w:val="222222"/>
          <w:lang w:val="ro-RO" w:eastAsia="ro-RO"/>
        </w:rPr>
      </w:pPr>
    </w:p>
    <w:p w14:paraId="53D64932" w14:textId="77777777" w:rsidR="00FD5CE0" w:rsidRPr="006B2F97" w:rsidRDefault="00FD5CE0" w:rsidP="006B2F97">
      <w:pPr>
        <w:jc w:val="both"/>
        <w:rPr>
          <w:lang w:val="ro-RO"/>
        </w:rPr>
      </w:pPr>
    </w:p>
    <w:sectPr w:rsidR="00FD5CE0" w:rsidRPr="006B2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1A"/>
    <w:rsid w:val="00025736"/>
    <w:rsid w:val="004877F1"/>
    <w:rsid w:val="00687DD4"/>
    <w:rsid w:val="006A7F0F"/>
    <w:rsid w:val="006B2F97"/>
    <w:rsid w:val="006B5B39"/>
    <w:rsid w:val="00887237"/>
    <w:rsid w:val="00DB7F20"/>
    <w:rsid w:val="00E8351A"/>
    <w:rsid w:val="00E86DAC"/>
    <w:rsid w:val="00E931D4"/>
    <w:rsid w:val="00ED6176"/>
    <w:rsid w:val="00F34A5C"/>
    <w:rsid w:val="00F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2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ED61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ED617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Fontdeparagrafimplicit"/>
    <w:rsid w:val="00ED6176"/>
  </w:style>
  <w:style w:type="character" w:styleId="Hyperlink">
    <w:name w:val="Hyperlink"/>
    <w:basedOn w:val="Fontdeparagrafimplicit"/>
    <w:uiPriority w:val="99"/>
    <w:unhideWhenUsed/>
    <w:rsid w:val="00E931D4"/>
    <w:rPr>
      <w:color w:val="0000FF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E931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ED61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ED617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Fontdeparagrafimplicit"/>
    <w:rsid w:val="00ED6176"/>
  </w:style>
  <w:style w:type="character" w:styleId="Hyperlink">
    <w:name w:val="Hyperlink"/>
    <w:basedOn w:val="Fontdeparagrafimplicit"/>
    <w:uiPriority w:val="99"/>
    <w:unhideWhenUsed/>
    <w:rsid w:val="00E931D4"/>
    <w:rPr>
      <w:color w:val="0000FF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E93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buc.ro/wp-content/uploads/2021/10/prg-colloque-1821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277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Aura Stan</cp:lastModifiedBy>
  <cp:revision>5</cp:revision>
  <dcterms:created xsi:type="dcterms:W3CDTF">2021-10-03T06:15:00Z</dcterms:created>
  <dcterms:modified xsi:type="dcterms:W3CDTF">2021-10-08T09:44:00Z</dcterms:modified>
</cp:coreProperties>
</file>