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118F6F" w14:textId="77777777" w:rsidR="00325043" w:rsidRPr="00EC5CC0" w:rsidRDefault="00223C49">
      <w:pPr>
        <w:rPr>
          <w:b/>
          <w:sz w:val="24"/>
          <w:szCs w:val="24"/>
          <w:lang w:val="ro-RO"/>
        </w:rPr>
      </w:pPr>
      <w:r w:rsidRPr="00EC5CC0">
        <w:rPr>
          <w:b/>
          <w:sz w:val="24"/>
          <w:szCs w:val="24"/>
          <w:lang w:val="ro-RO"/>
        </w:rPr>
        <w:t>Politici publice în domeniul educațional, formulate de specialiștii UB pornind de la rezultatele studiului TIMSS 2019 pentru România</w:t>
      </w:r>
    </w:p>
    <w:p w14:paraId="15B86C18" w14:textId="77777777" w:rsidR="00223C49" w:rsidRPr="00EC5CC0" w:rsidRDefault="00223C49" w:rsidP="00EC5CC0">
      <w:pPr>
        <w:jc w:val="both"/>
        <w:rPr>
          <w:sz w:val="24"/>
          <w:szCs w:val="24"/>
          <w:lang w:val="ro-RO"/>
        </w:rPr>
      </w:pPr>
      <w:r w:rsidRPr="00EC5CC0">
        <w:rPr>
          <w:sz w:val="24"/>
          <w:szCs w:val="24"/>
          <w:lang w:val="ro-RO"/>
        </w:rPr>
        <w:t>Specialiștii în științele educației și în testare educațională de la Universitatea din București au formulat</w:t>
      </w:r>
      <w:r w:rsidR="00EC5CC0" w:rsidRPr="00EC5CC0">
        <w:rPr>
          <w:sz w:val="24"/>
          <w:szCs w:val="24"/>
          <w:lang w:val="ro-RO"/>
        </w:rPr>
        <w:t xml:space="preserve">, pornind de la rezultatele pentru România ale studiului „Tendințe în domeniul Studiilor Matematice și Științifice Internaționale” – TIMSS 2019, </w:t>
      </w:r>
      <w:r w:rsidRPr="00EC5CC0">
        <w:rPr>
          <w:sz w:val="24"/>
          <w:szCs w:val="24"/>
          <w:lang w:val="ro-RO"/>
        </w:rPr>
        <w:t>o serie de politici</w:t>
      </w:r>
      <w:r w:rsidR="00EC5CC0" w:rsidRPr="00EC5CC0">
        <w:rPr>
          <w:sz w:val="24"/>
          <w:szCs w:val="24"/>
          <w:lang w:val="ro-RO"/>
        </w:rPr>
        <w:t xml:space="preserve"> publice.</w:t>
      </w:r>
    </w:p>
    <w:p w14:paraId="5F17953B" w14:textId="2EF16B7B" w:rsidR="00EC5CC0" w:rsidRPr="00EC5CC0" w:rsidRDefault="00EC5CC0" w:rsidP="00EC5CC0">
      <w:pPr>
        <w:jc w:val="both"/>
        <w:rPr>
          <w:sz w:val="24"/>
          <w:szCs w:val="24"/>
          <w:lang w:val="ro-RO"/>
        </w:rPr>
      </w:pPr>
      <w:r w:rsidRPr="00EC5CC0">
        <w:rPr>
          <w:sz w:val="24"/>
          <w:szCs w:val="24"/>
          <w:lang w:val="ro-RO"/>
        </w:rPr>
        <w:t>De altfel, pornind de la concluziile studiului</w:t>
      </w:r>
      <w:r w:rsidR="000061A4">
        <w:rPr>
          <w:sz w:val="24"/>
          <w:szCs w:val="24"/>
          <w:lang w:val="ro-RO"/>
        </w:rPr>
        <w:t>,</w:t>
      </w:r>
      <w:r w:rsidRPr="00EC5CC0">
        <w:rPr>
          <w:sz w:val="24"/>
          <w:szCs w:val="24"/>
          <w:lang w:val="ro-RO"/>
        </w:rPr>
        <w:t xml:space="preserve"> specialiștii în științele educației și în testare educațională de la Universitatea din București au propus, încă de la data momentul lansării rezultatelor TIMSS 2019, o serie de recomandări, structurate pe 5 zone prioritare de acțiune: Echitatea sistemului educațional, Recrutarea, formarea inițială și continuă a profesorilor și serviciile de sprijin educațional, Climatul și mediul de învățare, Experiențele de învățare și interacțiunile din clasă și </w:t>
      </w:r>
      <w:r w:rsidR="000061A4">
        <w:rPr>
          <w:sz w:val="24"/>
          <w:szCs w:val="24"/>
          <w:lang w:val="ro-RO"/>
        </w:rPr>
        <w:t>I</w:t>
      </w:r>
      <w:r w:rsidRPr="00EC5CC0">
        <w:rPr>
          <w:sz w:val="24"/>
          <w:szCs w:val="24"/>
          <w:lang w:val="ro-RO"/>
        </w:rPr>
        <w:t>nfrastructura educațională și resursele.</w:t>
      </w:r>
    </w:p>
    <w:p w14:paraId="26C4E156" w14:textId="77777777" w:rsidR="00EC5CC0" w:rsidRDefault="00EC5CC0" w:rsidP="00EC5CC0">
      <w:pPr>
        <w:jc w:val="both"/>
        <w:rPr>
          <w:sz w:val="24"/>
          <w:szCs w:val="24"/>
          <w:lang w:val="ro-RO"/>
        </w:rPr>
      </w:pPr>
      <w:r w:rsidRPr="00EC5CC0">
        <w:rPr>
          <w:sz w:val="24"/>
          <w:szCs w:val="24"/>
          <w:lang w:val="ro-RO"/>
        </w:rPr>
        <w:t>Textul integral al studiului „Tendințe în domeniul Studiilor Matematice și Științifice Internaționale” – TIMSS 2019 (clasa a VIII-a) poate fi accesat </w:t>
      </w:r>
      <w:hyperlink r:id="rId6" w:tgtFrame="_blank" w:history="1">
        <w:r w:rsidRPr="00EC5CC0">
          <w:rPr>
            <w:rStyle w:val="Hyperlink"/>
            <w:b/>
            <w:bCs/>
            <w:sz w:val="24"/>
            <w:szCs w:val="24"/>
            <w:lang w:val="ro-RO"/>
          </w:rPr>
          <w:t>aici</w:t>
        </w:r>
      </w:hyperlink>
      <w:r w:rsidRPr="00EC5CC0">
        <w:rPr>
          <w:sz w:val="24"/>
          <w:szCs w:val="24"/>
          <w:lang w:val="ro-RO"/>
        </w:rPr>
        <w:t>, iar o prezentare sintetică a rezultatelor raportului TIMSS 2019 pentru România poate fi accesată </w:t>
      </w:r>
      <w:hyperlink r:id="rId7" w:tgtFrame="_blank" w:history="1">
        <w:r w:rsidRPr="00EC5CC0">
          <w:rPr>
            <w:rStyle w:val="Hyperlink"/>
            <w:b/>
            <w:bCs/>
            <w:sz w:val="24"/>
            <w:szCs w:val="24"/>
            <w:lang w:val="ro-RO"/>
          </w:rPr>
          <w:t>aici</w:t>
        </w:r>
      </w:hyperlink>
      <w:r w:rsidRPr="00EC5CC0">
        <w:rPr>
          <w:sz w:val="24"/>
          <w:szCs w:val="24"/>
          <w:lang w:val="ro-RO"/>
        </w:rPr>
        <w:t>.</w:t>
      </w:r>
    </w:p>
    <w:p w14:paraId="6A055F1B" w14:textId="77777777" w:rsidR="00EC5CC0" w:rsidRPr="00B55907" w:rsidRDefault="00B55907" w:rsidP="00EC5CC0">
      <w:pPr>
        <w:jc w:val="both"/>
        <w:rPr>
          <w:b/>
          <w:sz w:val="24"/>
          <w:szCs w:val="24"/>
          <w:lang w:val="ro-RO"/>
        </w:rPr>
      </w:pPr>
      <w:r w:rsidRPr="00B55907">
        <w:rPr>
          <w:b/>
          <w:sz w:val="24"/>
          <w:szCs w:val="24"/>
          <w:lang w:val="ro-RO"/>
        </w:rPr>
        <w:t xml:space="preserve">Policy info 1/2022. Diferențe de gen în învățarea matematicii și științelor </w:t>
      </w:r>
    </w:p>
    <w:p w14:paraId="6B1E77DB" w14:textId="365C4528" w:rsidR="00EC5CC0" w:rsidRDefault="00B55907" w:rsidP="00B55907">
      <w:pPr>
        <w:jc w:val="both"/>
        <w:rPr>
          <w:sz w:val="24"/>
          <w:szCs w:val="24"/>
          <w:lang w:val="ro-RO"/>
        </w:rPr>
      </w:pPr>
      <w:r>
        <w:rPr>
          <w:sz w:val="24"/>
          <w:szCs w:val="24"/>
          <w:lang w:val="ro-RO"/>
        </w:rPr>
        <w:t>D</w:t>
      </w:r>
      <w:r w:rsidR="005F74EB">
        <w:rPr>
          <w:sz w:val="24"/>
          <w:szCs w:val="24"/>
          <w:lang w:val="ro-RO"/>
        </w:rPr>
        <w:t xml:space="preserve">ocumentul </w:t>
      </w:r>
      <w:r>
        <w:rPr>
          <w:sz w:val="24"/>
          <w:szCs w:val="24"/>
          <w:lang w:val="ro-RO"/>
        </w:rPr>
        <w:t>prezintă</w:t>
      </w:r>
      <w:r w:rsidRPr="00B55907">
        <w:rPr>
          <w:sz w:val="24"/>
          <w:szCs w:val="24"/>
          <w:lang w:val="ro-RO"/>
        </w:rPr>
        <w:t xml:space="preserve"> o </w:t>
      </w:r>
      <w:r>
        <w:rPr>
          <w:sz w:val="24"/>
          <w:szCs w:val="24"/>
          <w:lang w:val="ro-RO"/>
        </w:rPr>
        <w:t xml:space="preserve">analiză a rezultatelor obținute </w:t>
      </w:r>
      <w:r w:rsidRPr="00B55907">
        <w:rPr>
          <w:sz w:val="24"/>
          <w:szCs w:val="24"/>
          <w:lang w:val="ro-RO"/>
        </w:rPr>
        <w:t>de fetele și băieții participanți l</w:t>
      </w:r>
      <w:r>
        <w:rPr>
          <w:sz w:val="24"/>
          <w:szCs w:val="24"/>
          <w:lang w:val="ro-RO"/>
        </w:rPr>
        <w:t>a cercetarea din cadrul studiul</w:t>
      </w:r>
      <w:r w:rsidR="000061A4">
        <w:rPr>
          <w:sz w:val="24"/>
          <w:szCs w:val="24"/>
          <w:lang w:val="ro-RO"/>
        </w:rPr>
        <w:t>ui</w:t>
      </w:r>
      <w:r>
        <w:rPr>
          <w:sz w:val="24"/>
          <w:szCs w:val="24"/>
          <w:lang w:val="ro-RO"/>
        </w:rPr>
        <w:t xml:space="preserve"> </w:t>
      </w:r>
      <w:r w:rsidRPr="00B55907">
        <w:rPr>
          <w:sz w:val="24"/>
          <w:szCs w:val="24"/>
          <w:lang w:val="ro-RO"/>
        </w:rPr>
        <w:t>TIMSS (2019), analiză corelată</w:t>
      </w:r>
      <w:r>
        <w:rPr>
          <w:sz w:val="24"/>
          <w:szCs w:val="24"/>
          <w:lang w:val="ro-RO"/>
        </w:rPr>
        <w:t xml:space="preserve"> cu gradul de încredere pe care </w:t>
      </w:r>
      <w:r w:rsidRPr="00B55907">
        <w:rPr>
          <w:sz w:val="24"/>
          <w:szCs w:val="24"/>
          <w:lang w:val="ro-RO"/>
        </w:rPr>
        <w:t>aceștia o au în forțele propri</w:t>
      </w:r>
      <w:r>
        <w:rPr>
          <w:sz w:val="24"/>
          <w:szCs w:val="24"/>
          <w:lang w:val="ro-RO"/>
        </w:rPr>
        <w:t xml:space="preserve">i atunci când învață matematică </w:t>
      </w:r>
      <w:r w:rsidRPr="00B55907">
        <w:rPr>
          <w:sz w:val="24"/>
          <w:szCs w:val="24"/>
          <w:lang w:val="ro-RO"/>
        </w:rPr>
        <w:t>sau științe. Scopul analizei este</w:t>
      </w:r>
      <w:r>
        <w:rPr>
          <w:sz w:val="24"/>
          <w:szCs w:val="24"/>
          <w:lang w:val="ro-RO"/>
        </w:rPr>
        <w:t xml:space="preserve"> acela de a identifica posibile </w:t>
      </w:r>
      <w:r w:rsidRPr="00B55907">
        <w:rPr>
          <w:sz w:val="24"/>
          <w:szCs w:val="24"/>
          <w:lang w:val="ro-RO"/>
        </w:rPr>
        <w:t>decalaje de performanță între g</w:t>
      </w:r>
      <w:r>
        <w:rPr>
          <w:sz w:val="24"/>
          <w:szCs w:val="24"/>
          <w:lang w:val="ro-RO"/>
        </w:rPr>
        <w:t xml:space="preserve">rupurile de gen diferit incluse </w:t>
      </w:r>
      <w:r w:rsidRPr="00B55907">
        <w:rPr>
          <w:sz w:val="24"/>
          <w:szCs w:val="24"/>
          <w:lang w:val="ro-RO"/>
        </w:rPr>
        <w:t>în studiu, de a deschide o disc</w:t>
      </w:r>
      <w:r>
        <w:rPr>
          <w:sz w:val="24"/>
          <w:szCs w:val="24"/>
          <w:lang w:val="ro-RO"/>
        </w:rPr>
        <w:t xml:space="preserve">uție pentru explorarea surselor </w:t>
      </w:r>
      <w:r w:rsidRPr="00B55907">
        <w:rPr>
          <w:sz w:val="24"/>
          <w:szCs w:val="24"/>
          <w:lang w:val="ro-RO"/>
        </w:rPr>
        <w:t>de alimentare ale acestora, o</w:t>
      </w:r>
      <w:r>
        <w:rPr>
          <w:sz w:val="24"/>
          <w:szCs w:val="24"/>
          <w:lang w:val="ro-RO"/>
        </w:rPr>
        <w:t xml:space="preserve">ferindu-se astfel suport pentru </w:t>
      </w:r>
      <w:r w:rsidRPr="00B55907">
        <w:rPr>
          <w:sz w:val="24"/>
          <w:szCs w:val="24"/>
          <w:lang w:val="ro-RO"/>
        </w:rPr>
        <w:t>consolidarea învățării tuturor elevilor și reducerea diferențelor.</w:t>
      </w:r>
    </w:p>
    <w:p w14:paraId="0AE8FFBA" w14:textId="77777777" w:rsidR="00B55907" w:rsidRDefault="00B55907" w:rsidP="00B55907">
      <w:pPr>
        <w:jc w:val="both"/>
        <w:rPr>
          <w:sz w:val="24"/>
          <w:szCs w:val="24"/>
          <w:lang w:val="ro-RO"/>
        </w:rPr>
      </w:pPr>
      <w:r w:rsidRPr="00B55907">
        <w:rPr>
          <w:sz w:val="24"/>
          <w:szCs w:val="24"/>
          <w:lang w:val="ro-RO"/>
        </w:rPr>
        <w:t>Conform datelor TIMSS 2019,</w:t>
      </w:r>
      <w:r>
        <w:rPr>
          <w:sz w:val="24"/>
          <w:szCs w:val="24"/>
          <w:lang w:val="ro-RO"/>
        </w:rPr>
        <w:t xml:space="preserve"> România se încadrează în grupa </w:t>
      </w:r>
      <w:r w:rsidRPr="00B55907">
        <w:rPr>
          <w:sz w:val="24"/>
          <w:szCs w:val="24"/>
          <w:lang w:val="ro-RO"/>
        </w:rPr>
        <w:t>țărilor unde există o diferență de g</w:t>
      </w:r>
      <w:r>
        <w:rPr>
          <w:sz w:val="24"/>
          <w:szCs w:val="24"/>
          <w:lang w:val="ro-RO"/>
        </w:rPr>
        <w:t xml:space="preserve">en referitoare la performanțele </w:t>
      </w:r>
      <w:r w:rsidRPr="00B55907">
        <w:rPr>
          <w:sz w:val="24"/>
          <w:szCs w:val="24"/>
          <w:lang w:val="ro-RO"/>
        </w:rPr>
        <w:t>de la matematică și științe, un</w:t>
      </w:r>
      <w:r>
        <w:rPr>
          <w:sz w:val="24"/>
          <w:szCs w:val="24"/>
          <w:lang w:val="ro-RO"/>
        </w:rPr>
        <w:t xml:space="preserve">a favorabilă fetelor. Punctajul </w:t>
      </w:r>
      <w:r w:rsidRPr="00B55907">
        <w:rPr>
          <w:sz w:val="24"/>
          <w:szCs w:val="24"/>
          <w:lang w:val="ro-RO"/>
        </w:rPr>
        <w:t>obținut de acestea la matema</w:t>
      </w:r>
      <w:r>
        <w:rPr>
          <w:sz w:val="24"/>
          <w:szCs w:val="24"/>
          <w:lang w:val="ro-RO"/>
        </w:rPr>
        <w:t xml:space="preserve">tică (487 puncte) este mai mare </w:t>
      </w:r>
      <w:r w:rsidRPr="00B55907">
        <w:rPr>
          <w:sz w:val="24"/>
          <w:szCs w:val="24"/>
          <w:lang w:val="ro-RO"/>
        </w:rPr>
        <w:t>decât cel obținut de colegii lor de g</w:t>
      </w:r>
      <w:r>
        <w:rPr>
          <w:sz w:val="24"/>
          <w:szCs w:val="24"/>
          <w:lang w:val="ro-RO"/>
        </w:rPr>
        <w:t xml:space="preserve">enerație (471 puncte). Situația </w:t>
      </w:r>
      <w:r w:rsidRPr="00B55907">
        <w:rPr>
          <w:sz w:val="24"/>
          <w:szCs w:val="24"/>
          <w:lang w:val="ro-RO"/>
        </w:rPr>
        <w:t>se menține și la științe, unde fete</w:t>
      </w:r>
      <w:r>
        <w:rPr>
          <w:sz w:val="24"/>
          <w:szCs w:val="24"/>
          <w:lang w:val="ro-RO"/>
        </w:rPr>
        <w:t xml:space="preserve">le au obținut un punctaj de 475  </w:t>
      </w:r>
      <w:r w:rsidRPr="00B55907">
        <w:rPr>
          <w:sz w:val="24"/>
          <w:szCs w:val="24"/>
          <w:lang w:val="ro-RO"/>
        </w:rPr>
        <w:t>puncte, iar băieții au obținut un</w:t>
      </w:r>
      <w:r>
        <w:rPr>
          <w:sz w:val="24"/>
          <w:szCs w:val="24"/>
          <w:lang w:val="ro-RO"/>
        </w:rPr>
        <w:t xml:space="preserve"> punctaj de 465 puncte. Această </w:t>
      </w:r>
      <w:r w:rsidRPr="00B55907">
        <w:rPr>
          <w:sz w:val="24"/>
          <w:szCs w:val="24"/>
          <w:lang w:val="ro-RO"/>
        </w:rPr>
        <w:t xml:space="preserve">discrepanță nu exista în 2003, </w:t>
      </w:r>
      <w:r>
        <w:rPr>
          <w:sz w:val="24"/>
          <w:szCs w:val="24"/>
          <w:lang w:val="ro-RO"/>
        </w:rPr>
        <w:t xml:space="preserve">de exemplu, când scorurile erau </w:t>
      </w:r>
      <w:r w:rsidRPr="00B55907">
        <w:rPr>
          <w:sz w:val="24"/>
          <w:szCs w:val="24"/>
          <w:lang w:val="ro-RO"/>
        </w:rPr>
        <w:t>similare, indiferent de genul participanților la studiu.</w:t>
      </w:r>
    </w:p>
    <w:p w14:paraId="27A73D17" w14:textId="77777777" w:rsidR="00D93CBF" w:rsidRPr="00D93CBF" w:rsidRDefault="00D93CBF" w:rsidP="00B55907">
      <w:pPr>
        <w:jc w:val="both"/>
        <w:rPr>
          <w:b/>
          <w:i/>
          <w:sz w:val="24"/>
          <w:szCs w:val="24"/>
          <w:lang w:val="ro-RO"/>
        </w:rPr>
      </w:pPr>
      <w:r w:rsidRPr="00D93CBF">
        <w:rPr>
          <w:b/>
          <w:i/>
          <w:sz w:val="24"/>
          <w:szCs w:val="24"/>
          <w:lang w:val="ro-RO"/>
        </w:rPr>
        <w:t>Concluzii</w:t>
      </w:r>
    </w:p>
    <w:p w14:paraId="55DF6FE0" w14:textId="7EB51144" w:rsidR="00B55907" w:rsidRDefault="000061A4" w:rsidP="00B55907">
      <w:pPr>
        <w:jc w:val="both"/>
        <w:rPr>
          <w:sz w:val="24"/>
          <w:szCs w:val="24"/>
          <w:lang w:val="ro-RO"/>
        </w:rPr>
      </w:pPr>
      <w:r>
        <w:rPr>
          <w:sz w:val="24"/>
          <w:szCs w:val="24"/>
          <w:lang w:val="ro-RO"/>
        </w:rPr>
        <w:t>P</w:t>
      </w:r>
      <w:r w:rsidR="00B55907" w:rsidRPr="00B55907">
        <w:rPr>
          <w:sz w:val="24"/>
          <w:szCs w:val="24"/>
          <w:lang w:val="ro-RO"/>
        </w:rPr>
        <w:t xml:space="preserve">entru a explica mai </w:t>
      </w:r>
      <w:r w:rsidR="00B55907">
        <w:rPr>
          <w:sz w:val="24"/>
          <w:szCs w:val="24"/>
          <w:lang w:val="ro-RO"/>
        </w:rPr>
        <w:t xml:space="preserve">bine diferențele de performanță </w:t>
      </w:r>
      <w:r w:rsidR="00B55907" w:rsidRPr="00B55907">
        <w:rPr>
          <w:sz w:val="24"/>
          <w:szCs w:val="24"/>
          <w:lang w:val="ro-RO"/>
        </w:rPr>
        <w:t xml:space="preserve">dintre băieții și fetele din România, </w:t>
      </w:r>
      <w:r w:rsidR="00B55907">
        <w:rPr>
          <w:sz w:val="24"/>
          <w:szCs w:val="24"/>
          <w:lang w:val="ro-RO"/>
        </w:rPr>
        <w:t xml:space="preserve">analizele viitoare </w:t>
      </w:r>
      <w:r w:rsidR="00B55907" w:rsidRPr="00B55907">
        <w:rPr>
          <w:sz w:val="24"/>
          <w:szCs w:val="24"/>
          <w:lang w:val="ro-RO"/>
        </w:rPr>
        <w:t>ar putea să se con</w:t>
      </w:r>
      <w:r w:rsidR="00B55907">
        <w:rPr>
          <w:sz w:val="24"/>
          <w:szCs w:val="24"/>
          <w:lang w:val="ro-RO"/>
        </w:rPr>
        <w:t xml:space="preserve">centreze pe variabile aflate pe </w:t>
      </w:r>
      <w:r w:rsidR="00B55907" w:rsidRPr="00B55907">
        <w:rPr>
          <w:sz w:val="24"/>
          <w:szCs w:val="24"/>
          <w:lang w:val="ro-RO"/>
        </w:rPr>
        <w:t>contexte la scară</w:t>
      </w:r>
      <w:r w:rsidR="00B55907">
        <w:rPr>
          <w:sz w:val="24"/>
          <w:szCs w:val="24"/>
          <w:lang w:val="ro-RO"/>
        </w:rPr>
        <w:t xml:space="preserve"> mai mică, comparând grupuri de </w:t>
      </w:r>
      <w:r w:rsidR="00B55907" w:rsidRPr="00B55907">
        <w:rPr>
          <w:sz w:val="24"/>
          <w:szCs w:val="24"/>
          <w:lang w:val="ro-RO"/>
        </w:rPr>
        <w:t>elevi (de exemplu, clase)</w:t>
      </w:r>
      <w:r w:rsidR="00B55907">
        <w:rPr>
          <w:sz w:val="24"/>
          <w:szCs w:val="24"/>
          <w:lang w:val="ro-RO"/>
        </w:rPr>
        <w:t xml:space="preserve">, caracteristicile profesorilor </w:t>
      </w:r>
      <w:r w:rsidR="00B55907" w:rsidRPr="00B55907">
        <w:rPr>
          <w:sz w:val="24"/>
          <w:szCs w:val="24"/>
          <w:lang w:val="ro-RO"/>
        </w:rPr>
        <w:t>cu niveluri de competență diferite etc.</w:t>
      </w:r>
    </w:p>
    <w:p w14:paraId="77D3BA04" w14:textId="77777777" w:rsidR="00B55907" w:rsidRDefault="00B55907" w:rsidP="00B55907">
      <w:pPr>
        <w:jc w:val="both"/>
        <w:rPr>
          <w:sz w:val="24"/>
          <w:szCs w:val="24"/>
          <w:lang w:val="ro-RO"/>
        </w:rPr>
      </w:pPr>
      <w:r w:rsidRPr="00B55907">
        <w:rPr>
          <w:sz w:val="24"/>
          <w:szCs w:val="24"/>
          <w:lang w:val="ro-RO"/>
        </w:rPr>
        <w:t>Este extrem de imp</w:t>
      </w:r>
      <w:r>
        <w:rPr>
          <w:sz w:val="24"/>
          <w:szCs w:val="24"/>
          <w:lang w:val="ro-RO"/>
        </w:rPr>
        <w:t xml:space="preserve">ortant de menționat că problema </w:t>
      </w:r>
      <w:r w:rsidRPr="00B55907">
        <w:rPr>
          <w:sz w:val="24"/>
          <w:szCs w:val="24"/>
          <w:lang w:val="ro-RO"/>
        </w:rPr>
        <w:t xml:space="preserve">auto-eficacității este </w:t>
      </w:r>
      <w:r>
        <w:rPr>
          <w:sz w:val="24"/>
          <w:szCs w:val="24"/>
          <w:lang w:val="ro-RO"/>
        </w:rPr>
        <w:t xml:space="preserve">doar o mică parte din puzzle-ul </w:t>
      </w:r>
      <w:r w:rsidRPr="00B55907">
        <w:rPr>
          <w:sz w:val="24"/>
          <w:szCs w:val="24"/>
          <w:lang w:val="ro-RO"/>
        </w:rPr>
        <w:t>general al diferențelor dintre sexe.</w:t>
      </w:r>
      <w:r w:rsidRPr="00B55907">
        <w:t xml:space="preserve"> </w:t>
      </w:r>
      <w:r w:rsidRPr="00B55907">
        <w:rPr>
          <w:sz w:val="24"/>
          <w:szCs w:val="24"/>
          <w:lang w:val="ro-RO"/>
        </w:rPr>
        <w:t xml:space="preserve">Diferențele între băieți și </w:t>
      </w:r>
      <w:r>
        <w:rPr>
          <w:sz w:val="24"/>
          <w:szCs w:val="24"/>
          <w:lang w:val="ro-RO"/>
        </w:rPr>
        <w:t xml:space="preserve">fete sunt multiple și nu toate </w:t>
      </w:r>
      <w:r w:rsidRPr="00B55907">
        <w:rPr>
          <w:sz w:val="24"/>
          <w:szCs w:val="24"/>
          <w:lang w:val="ro-RO"/>
        </w:rPr>
        <w:t>de natură socio-cultu</w:t>
      </w:r>
      <w:r>
        <w:rPr>
          <w:sz w:val="24"/>
          <w:szCs w:val="24"/>
          <w:lang w:val="ro-RO"/>
        </w:rPr>
        <w:t xml:space="preserve">rală. De exemplu, teme viitoare </w:t>
      </w:r>
      <w:r w:rsidRPr="00B55907">
        <w:rPr>
          <w:sz w:val="24"/>
          <w:szCs w:val="24"/>
          <w:lang w:val="ro-RO"/>
        </w:rPr>
        <w:t>de cercetare includ verific</w:t>
      </w:r>
      <w:r>
        <w:rPr>
          <w:sz w:val="24"/>
          <w:szCs w:val="24"/>
          <w:lang w:val="ro-RO"/>
        </w:rPr>
        <w:t xml:space="preserve">area explicației că diferențele </w:t>
      </w:r>
      <w:r w:rsidRPr="00B55907">
        <w:rPr>
          <w:sz w:val="24"/>
          <w:szCs w:val="24"/>
          <w:lang w:val="ro-RO"/>
        </w:rPr>
        <w:t>sunt corelate cu varia</w:t>
      </w:r>
      <w:r>
        <w:rPr>
          <w:sz w:val="24"/>
          <w:szCs w:val="24"/>
          <w:lang w:val="ro-RO"/>
        </w:rPr>
        <w:t xml:space="preserve">nța de comportament în asumarea </w:t>
      </w:r>
      <w:r w:rsidRPr="00B55907">
        <w:rPr>
          <w:sz w:val="24"/>
          <w:szCs w:val="24"/>
          <w:lang w:val="ro-RO"/>
        </w:rPr>
        <w:t>riscurilor.</w:t>
      </w:r>
    </w:p>
    <w:p w14:paraId="10941CE6" w14:textId="77777777" w:rsidR="00B55907" w:rsidRDefault="00B55907" w:rsidP="00B55907">
      <w:pPr>
        <w:jc w:val="both"/>
        <w:rPr>
          <w:sz w:val="24"/>
          <w:szCs w:val="24"/>
          <w:lang w:val="ro-RO"/>
        </w:rPr>
      </w:pPr>
      <w:r w:rsidRPr="00B55907">
        <w:rPr>
          <w:sz w:val="24"/>
          <w:szCs w:val="24"/>
          <w:lang w:val="ro-RO"/>
        </w:rPr>
        <w:lastRenderedPageBreak/>
        <w:t>Meseriile STEM sunt percepute ca fiind mai riscante,</w:t>
      </w:r>
      <w:r>
        <w:rPr>
          <w:sz w:val="24"/>
          <w:szCs w:val="24"/>
          <w:lang w:val="ro-RO"/>
        </w:rPr>
        <w:t xml:space="preserve"> </w:t>
      </w:r>
      <w:r w:rsidRPr="00B55907">
        <w:rPr>
          <w:sz w:val="24"/>
          <w:szCs w:val="24"/>
          <w:lang w:val="ro-RO"/>
        </w:rPr>
        <w:t xml:space="preserve">cu rate de abandon mari </w:t>
      </w:r>
      <w:r>
        <w:rPr>
          <w:sz w:val="24"/>
          <w:szCs w:val="24"/>
          <w:lang w:val="ro-RO"/>
        </w:rPr>
        <w:t xml:space="preserve">(e.g., ingineria) comparativ cu </w:t>
      </w:r>
      <w:r w:rsidRPr="00B55907">
        <w:rPr>
          <w:sz w:val="24"/>
          <w:szCs w:val="24"/>
          <w:lang w:val="ro-RO"/>
        </w:rPr>
        <w:t>științele sociale, iar prioritizare</w:t>
      </w:r>
      <w:r>
        <w:rPr>
          <w:sz w:val="24"/>
          <w:szCs w:val="24"/>
          <w:lang w:val="ro-RO"/>
        </w:rPr>
        <w:t xml:space="preserve">a meseriilor ar putea fi o </w:t>
      </w:r>
      <w:r w:rsidRPr="00B55907">
        <w:rPr>
          <w:sz w:val="24"/>
          <w:szCs w:val="24"/>
          <w:lang w:val="ro-RO"/>
        </w:rPr>
        <w:t>expresie a aversiunii față</w:t>
      </w:r>
      <w:r>
        <w:rPr>
          <w:sz w:val="24"/>
          <w:szCs w:val="24"/>
          <w:lang w:val="ro-RO"/>
        </w:rPr>
        <w:t xml:space="preserve"> de risc, mai puternic asociată cu genul feminin. </w:t>
      </w:r>
    </w:p>
    <w:p w14:paraId="1D255755" w14:textId="77777777" w:rsidR="00B55907" w:rsidRDefault="00B55907" w:rsidP="00B55907">
      <w:pPr>
        <w:jc w:val="both"/>
        <w:rPr>
          <w:sz w:val="24"/>
          <w:szCs w:val="24"/>
          <w:lang w:val="ro-RO"/>
        </w:rPr>
      </w:pPr>
      <w:r w:rsidRPr="00B55907">
        <w:rPr>
          <w:sz w:val="24"/>
          <w:szCs w:val="24"/>
          <w:lang w:val="ro-RO"/>
        </w:rPr>
        <w:t>Principalele intervenții aici</w:t>
      </w:r>
      <w:r>
        <w:rPr>
          <w:sz w:val="24"/>
          <w:szCs w:val="24"/>
          <w:lang w:val="ro-RO"/>
        </w:rPr>
        <w:t xml:space="preserve"> sunt mai de finețe, ele putând </w:t>
      </w:r>
      <w:r w:rsidRPr="00B55907">
        <w:rPr>
          <w:sz w:val="24"/>
          <w:szCs w:val="24"/>
          <w:lang w:val="ro-RO"/>
        </w:rPr>
        <w:t>veni mai ales dintr</w:t>
      </w:r>
      <w:r>
        <w:rPr>
          <w:sz w:val="24"/>
          <w:szCs w:val="24"/>
          <w:lang w:val="ro-RO"/>
        </w:rPr>
        <w:t xml:space="preserve">-o abordare coerentă la nivelul </w:t>
      </w:r>
      <w:r w:rsidRPr="00B55907">
        <w:rPr>
          <w:sz w:val="24"/>
          <w:szCs w:val="24"/>
          <w:lang w:val="ro-RO"/>
        </w:rPr>
        <w:t>proceselor de consiliere școlară și orientare în carieră.</w:t>
      </w:r>
    </w:p>
    <w:p w14:paraId="3C941F10" w14:textId="7E78A53C" w:rsidR="00D93CBF" w:rsidRPr="00D93CBF" w:rsidRDefault="00D93CBF" w:rsidP="00D93CBF">
      <w:pPr>
        <w:jc w:val="both"/>
        <w:rPr>
          <w:sz w:val="24"/>
          <w:szCs w:val="24"/>
          <w:lang w:val="ro-RO"/>
        </w:rPr>
      </w:pPr>
      <w:r>
        <w:rPr>
          <w:sz w:val="24"/>
          <w:szCs w:val="24"/>
          <w:lang w:val="ro-RO"/>
        </w:rPr>
        <w:t xml:space="preserve">Varianta integrală a documentului </w:t>
      </w:r>
      <w:r w:rsidRPr="00B55907">
        <w:rPr>
          <w:b/>
          <w:sz w:val="24"/>
          <w:szCs w:val="24"/>
          <w:lang w:val="ro-RO"/>
        </w:rPr>
        <w:t xml:space="preserve">Policy info 1/2022. Diferențe de gen în învățarea matematicii și științelor </w:t>
      </w:r>
      <w:r>
        <w:rPr>
          <w:sz w:val="24"/>
          <w:szCs w:val="24"/>
          <w:lang w:val="ro-RO"/>
        </w:rPr>
        <w:t xml:space="preserve">poate fi consultată </w:t>
      </w:r>
      <w:hyperlink r:id="rId8" w:history="1">
        <w:r w:rsidRPr="002D284C">
          <w:rPr>
            <w:rStyle w:val="Hyperlink"/>
            <w:b/>
            <w:sz w:val="24"/>
            <w:szCs w:val="24"/>
            <w:lang w:val="ro-RO"/>
          </w:rPr>
          <w:t>aici</w:t>
        </w:r>
      </w:hyperlink>
      <w:r>
        <w:rPr>
          <w:sz w:val="24"/>
          <w:szCs w:val="24"/>
          <w:lang w:val="ro-RO"/>
        </w:rPr>
        <w:t>.</w:t>
      </w:r>
    </w:p>
    <w:p w14:paraId="197871B8" w14:textId="77777777" w:rsidR="00D93CBF" w:rsidRDefault="00D93CBF" w:rsidP="00B55907">
      <w:pPr>
        <w:jc w:val="both"/>
        <w:rPr>
          <w:sz w:val="24"/>
          <w:szCs w:val="24"/>
          <w:lang w:val="ro-RO"/>
        </w:rPr>
      </w:pPr>
    </w:p>
    <w:p w14:paraId="3CAF6F91" w14:textId="77777777" w:rsidR="00B55907" w:rsidRPr="00B55907" w:rsidRDefault="00B55907" w:rsidP="00B55907">
      <w:pPr>
        <w:jc w:val="both"/>
        <w:rPr>
          <w:b/>
          <w:sz w:val="24"/>
          <w:szCs w:val="24"/>
          <w:lang w:val="ro-RO"/>
        </w:rPr>
      </w:pPr>
      <w:r w:rsidRPr="00B55907">
        <w:rPr>
          <w:b/>
          <w:sz w:val="24"/>
          <w:szCs w:val="24"/>
          <w:lang w:val="ro-RO"/>
        </w:rPr>
        <w:t xml:space="preserve">Policy info 2/2022. Relația dintre bullying și performanța școlară a </w:t>
      </w:r>
      <w:r w:rsidR="00905EEC">
        <w:rPr>
          <w:b/>
          <w:sz w:val="24"/>
          <w:szCs w:val="24"/>
          <w:lang w:val="ro-RO"/>
        </w:rPr>
        <w:t>elevilor din Ro</w:t>
      </w:r>
      <w:r w:rsidRPr="00B55907">
        <w:rPr>
          <w:b/>
          <w:sz w:val="24"/>
          <w:szCs w:val="24"/>
          <w:lang w:val="ro-RO"/>
        </w:rPr>
        <w:t>mânia</w:t>
      </w:r>
    </w:p>
    <w:p w14:paraId="3157F1B5" w14:textId="77777777" w:rsidR="00B55907" w:rsidRDefault="005F74EB" w:rsidP="005F74EB">
      <w:pPr>
        <w:jc w:val="both"/>
        <w:rPr>
          <w:sz w:val="24"/>
          <w:szCs w:val="24"/>
          <w:lang w:val="ro-RO"/>
        </w:rPr>
      </w:pPr>
      <w:r>
        <w:rPr>
          <w:sz w:val="24"/>
          <w:szCs w:val="24"/>
          <w:lang w:val="ro-RO"/>
        </w:rPr>
        <w:t>D</w:t>
      </w:r>
      <w:r w:rsidRPr="005F74EB">
        <w:rPr>
          <w:sz w:val="24"/>
          <w:szCs w:val="24"/>
          <w:lang w:val="ro-RO"/>
        </w:rPr>
        <w:t>ocument</w:t>
      </w:r>
      <w:r>
        <w:rPr>
          <w:sz w:val="24"/>
          <w:szCs w:val="24"/>
          <w:lang w:val="ro-RO"/>
        </w:rPr>
        <w:t>ul</w:t>
      </w:r>
      <w:r w:rsidRPr="005F74EB">
        <w:rPr>
          <w:sz w:val="24"/>
          <w:szCs w:val="24"/>
          <w:lang w:val="ro-RO"/>
        </w:rPr>
        <w:t xml:space="preserve"> reprezintă o analiză a</w:t>
      </w:r>
      <w:r>
        <w:rPr>
          <w:sz w:val="24"/>
          <w:szCs w:val="24"/>
          <w:lang w:val="ro-RO"/>
        </w:rPr>
        <w:t xml:space="preserve"> felului în care este percepută </w:t>
      </w:r>
      <w:r w:rsidRPr="005F74EB">
        <w:rPr>
          <w:sz w:val="24"/>
          <w:szCs w:val="24"/>
          <w:lang w:val="ro-RO"/>
        </w:rPr>
        <w:t xml:space="preserve">victimizarea în rândul elevilor români </w:t>
      </w:r>
      <w:r>
        <w:rPr>
          <w:sz w:val="24"/>
          <w:szCs w:val="24"/>
          <w:lang w:val="ro-RO"/>
        </w:rPr>
        <w:t xml:space="preserve">din clasa a VIII-a participanți </w:t>
      </w:r>
      <w:r w:rsidRPr="005F74EB">
        <w:rPr>
          <w:sz w:val="24"/>
          <w:szCs w:val="24"/>
          <w:lang w:val="ro-RO"/>
        </w:rPr>
        <w:t>la studiul TIMSS 2019 și a relației di</w:t>
      </w:r>
      <w:r>
        <w:rPr>
          <w:sz w:val="24"/>
          <w:szCs w:val="24"/>
          <w:lang w:val="ro-RO"/>
        </w:rPr>
        <w:t xml:space="preserve">ntre victimizare și performanța </w:t>
      </w:r>
      <w:r w:rsidRPr="005F74EB">
        <w:rPr>
          <w:sz w:val="24"/>
          <w:szCs w:val="24"/>
          <w:lang w:val="ro-RO"/>
        </w:rPr>
        <w:t>școlară. Victimizarea sau bull</w:t>
      </w:r>
      <w:r>
        <w:rPr>
          <w:sz w:val="24"/>
          <w:szCs w:val="24"/>
          <w:lang w:val="ro-RO"/>
        </w:rPr>
        <w:t xml:space="preserve">ying-ul este un fenomen tot mai </w:t>
      </w:r>
      <w:r w:rsidRPr="005F74EB">
        <w:rPr>
          <w:sz w:val="24"/>
          <w:szCs w:val="24"/>
          <w:lang w:val="ro-RO"/>
        </w:rPr>
        <w:t>frecvent întâlnit și în societatea r</w:t>
      </w:r>
      <w:r>
        <w:rPr>
          <w:sz w:val="24"/>
          <w:szCs w:val="24"/>
          <w:lang w:val="ro-RO"/>
        </w:rPr>
        <w:t xml:space="preserve">omânească. Efectele intimidării </w:t>
      </w:r>
      <w:r w:rsidRPr="005F74EB">
        <w:rPr>
          <w:sz w:val="24"/>
          <w:szCs w:val="24"/>
          <w:lang w:val="ro-RO"/>
        </w:rPr>
        <w:t xml:space="preserve">sau umilirii fizice și/sau verbale, </w:t>
      </w:r>
      <w:r>
        <w:rPr>
          <w:sz w:val="24"/>
          <w:szCs w:val="24"/>
          <w:lang w:val="ro-RO"/>
        </w:rPr>
        <w:t xml:space="preserve">intenționate și repetate a unui </w:t>
      </w:r>
      <w:r w:rsidRPr="005F74EB">
        <w:rPr>
          <w:sz w:val="24"/>
          <w:szCs w:val="24"/>
          <w:lang w:val="ro-RO"/>
        </w:rPr>
        <w:t>elev vulnerabil de către colegii să</w:t>
      </w:r>
      <w:r>
        <w:rPr>
          <w:sz w:val="24"/>
          <w:szCs w:val="24"/>
          <w:lang w:val="ro-RO"/>
        </w:rPr>
        <w:t xml:space="preserve">i se pot manifesta în rezultate </w:t>
      </w:r>
      <w:r w:rsidRPr="005F74EB">
        <w:rPr>
          <w:sz w:val="24"/>
          <w:szCs w:val="24"/>
          <w:lang w:val="ro-RO"/>
        </w:rPr>
        <w:t>psihosociale negative cum ar fi: epis</w:t>
      </w:r>
      <w:r>
        <w:rPr>
          <w:sz w:val="24"/>
          <w:szCs w:val="24"/>
          <w:lang w:val="ro-RO"/>
        </w:rPr>
        <w:t xml:space="preserve">oadele depresive, stima de sine </w:t>
      </w:r>
      <w:r w:rsidRPr="005F74EB">
        <w:rPr>
          <w:sz w:val="24"/>
          <w:szCs w:val="24"/>
          <w:lang w:val="ro-RO"/>
        </w:rPr>
        <w:t>scăzută, însingurarea, anxietatea</w:t>
      </w:r>
      <w:r>
        <w:rPr>
          <w:sz w:val="24"/>
          <w:szCs w:val="24"/>
          <w:lang w:val="ro-RO"/>
        </w:rPr>
        <w:t xml:space="preserve">. Amploarea fenomenului variază </w:t>
      </w:r>
      <w:r w:rsidRPr="005F74EB">
        <w:rPr>
          <w:sz w:val="24"/>
          <w:szCs w:val="24"/>
          <w:lang w:val="ro-RO"/>
        </w:rPr>
        <w:t>la nivel internațional, iar conseci</w:t>
      </w:r>
      <w:r>
        <w:rPr>
          <w:sz w:val="24"/>
          <w:szCs w:val="24"/>
          <w:lang w:val="ro-RO"/>
        </w:rPr>
        <w:t xml:space="preserve">nțele negative ale victimizării </w:t>
      </w:r>
      <w:r w:rsidRPr="005F74EB">
        <w:rPr>
          <w:sz w:val="24"/>
          <w:szCs w:val="24"/>
          <w:lang w:val="ro-RO"/>
        </w:rPr>
        <w:t>asupra performanței școlare</w:t>
      </w:r>
      <w:r>
        <w:rPr>
          <w:sz w:val="24"/>
          <w:szCs w:val="24"/>
          <w:lang w:val="ro-RO"/>
        </w:rPr>
        <w:t xml:space="preserve"> nu sunt suficient documentate. </w:t>
      </w:r>
      <w:r w:rsidRPr="005F74EB">
        <w:rPr>
          <w:sz w:val="24"/>
          <w:szCs w:val="24"/>
          <w:lang w:val="ro-RO"/>
        </w:rPr>
        <w:t xml:space="preserve">Scopul analizei este de a identifica </w:t>
      </w:r>
      <w:r>
        <w:rPr>
          <w:sz w:val="24"/>
          <w:szCs w:val="24"/>
          <w:lang w:val="ro-RO"/>
        </w:rPr>
        <w:t xml:space="preserve">natura relației dintre bullying </w:t>
      </w:r>
      <w:r w:rsidRPr="005F74EB">
        <w:rPr>
          <w:sz w:val="24"/>
          <w:szCs w:val="24"/>
          <w:lang w:val="ro-RO"/>
        </w:rPr>
        <w:t>și performanța școlară și de a s</w:t>
      </w:r>
      <w:r>
        <w:rPr>
          <w:sz w:val="24"/>
          <w:szCs w:val="24"/>
          <w:lang w:val="ro-RO"/>
        </w:rPr>
        <w:t xml:space="preserve">ecvenția factorii implicați, în </w:t>
      </w:r>
      <w:r w:rsidRPr="005F74EB">
        <w:rPr>
          <w:sz w:val="24"/>
          <w:szCs w:val="24"/>
          <w:lang w:val="ro-RO"/>
        </w:rPr>
        <w:t>scopul de a propune modalități de intervenție adecvate și eficace.</w:t>
      </w:r>
    </w:p>
    <w:p w14:paraId="15E0730A" w14:textId="036457C4" w:rsidR="005F74EB" w:rsidRDefault="005F74EB" w:rsidP="005F74EB">
      <w:pPr>
        <w:jc w:val="both"/>
        <w:rPr>
          <w:sz w:val="24"/>
          <w:szCs w:val="24"/>
          <w:lang w:val="ro-RO"/>
        </w:rPr>
      </w:pPr>
      <w:r w:rsidRPr="005F74EB">
        <w:rPr>
          <w:sz w:val="24"/>
          <w:szCs w:val="24"/>
          <w:lang w:val="ro-RO"/>
        </w:rPr>
        <w:t>Conform datelor TIMSS 2019, aproxima</w:t>
      </w:r>
      <w:r>
        <w:rPr>
          <w:sz w:val="24"/>
          <w:szCs w:val="24"/>
          <w:lang w:val="ro-RO"/>
        </w:rPr>
        <w:t xml:space="preserve">tiv 66% dintre elevii români </w:t>
      </w:r>
      <w:r w:rsidRPr="005F74EB">
        <w:rPr>
          <w:sz w:val="24"/>
          <w:szCs w:val="24"/>
          <w:lang w:val="ro-RO"/>
        </w:rPr>
        <w:t>din clasa a VIII-a afirmă că nu au fos</w:t>
      </w:r>
      <w:r>
        <w:rPr>
          <w:sz w:val="24"/>
          <w:szCs w:val="24"/>
          <w:lang w:val="ro-RO"/>
        </w:rPr>
        <w:t>t niciodată supuși bullying</w:t>
      </w:r>
      <w:r w:rsidR="006137BA">
        <w:rPr>
          <w:sz w:val="24"/>
          <w:szCs w:val="24"/>
          <w:lang w:val="ro-RO"/>
        </w:rPr>
        <w:t>-</w:t>
      </w:r>
      <w:r>
        <w:rPr>
          <w:sz w:val="24"/>
          <w:szCs w:val="24"/>
          <w:lang w:val="ro-RO"/>
        </w:rPr>
        <w:t xml:space="preserve">ului </w:t>
      </w:r>
      <w:r w:rsidRPr="005F74EB">
        <w:rPr>
          <w:sz w:val="24"/>
          <w:szCs w:val="24"/>
          <w:lang w:val="ro-RO"/>
        </w:rPr>
        <w:t>din partea colegilor. Aces</w:t>
      </w:r>
      <w:r>
        <w:rPr>
          <w:sz w:val="24"/>
          <w:szCs w:val="24"/>
          <w:lang w:val="ro-RO"/>
        </w:rPr>
        <w:t xml:space="preserve">te valori încadrează România în </w:t>
      </w:r>
      <w:r w:rsidR="006137BA">
        <w:rPr>
          <w:sz w:val="24"/>
          <w:szCs w:val="24"/>
          <w:lang w:val="ro-RO"/>
        </w:rPr>
        <w:t xml:space="preserve">ultima parte a </w:t>
      </w:r>
      <w:r w:rsidRPr="005F74EB">
        <w:rPr>
          <w:sz w:val="24"/>
          <w:szCs w:val="24"/>
          <w:lang w:val="ro-RO"/>
        </w:rPr>
        <w:t>celei de a doua treimi, în tim</w:t>
      </w:r>
      <w:r>
        <w:rPr>
          <w:sz w:val="24"/>
          <w:szCs w:val="24"/>
          <w:lang w:val="ro-RO"/>
        </w:rPr>
        <w:t xml:space="preserve">p ce în țările din prima treime </w:t>
      </w:r>
      <w:r w:rsidRPr="005F74EB">
        <w:rPr>
          <w:sz w:val="24"/>
          <w:szCs w:val="24"/>
          <w:lang w:val="ro-RO"/>
        </w:rPr>
        <w:t>procentul elevilor care declară că n</w:t>
      </w:r>
      <w:r>
        <w:rPr>
          <w:sz w:val="24"/>
          <w:szCs w:val="24"/>
          <w:lang w:val="ro-RO"/>
        </w:rPr>
        <w:t xml:space="preserve">u au fost victimizați niciodată </w:t>
      </w:r>
      <w:r w:rsidRPr="005F74EB">
        <w:rPr>
          <w:sz w:val="24"/>
          <w:szCs w:val="24"/>
          <w:lang w:val="ro-RO"/>
        </w:rPr>
        <w:t>este de peste 80%. Diferențe se păstre</w:t>
      </w:r>
      <w:r>
        <w:rPr>
          <w:sz w:val="24"/>
          <w:szCs w:val="24"/>
          <w:lang w:val="ro-RO"/>
        </w:rPr>
        <w:t xml:space="preserve">ază și în privința victimizării </w:t>
      </w:r>
      <w:r w:rsidRPr="005F74EB">
        <w:rPr>
          <w:sz w:val="24"/>
          <w:szCs w:val="24"/>
          <w:lang w:val="ro-RO"/>
        </w:rPr>
        <w:t>lunare sau săptămânale: sub 4% în</w:t>
      </w:r>
      <w:r>
        <w:rPr>
          <w:sz w:val="24"/>
          <w:szCs w:val="24"/>
          <w:lang w:val="ro-RO"/>
        </w:rPr>
        <w:t xml:space="preserve"> cazul țărilor din prima treime </w:t>
      </w:r>
      <w:r w:rsidRPr="005F74EB">
        <w:rPr>
          <w:sz w:val="24"/>
          <w:szCs w:val="24"/>
          <w:lang w:val="ro-RO"/>
        </w:rPr>
        <w:t>și 8% în cazul României. Trebu</w:t>
      </w:r>
      <w:r>
        <w:rPr>
          <w:sz w:val="24"/>
          <w:szCs w:val="24"/>
          <w:lang w:val="ro-RO"/>
        </w:rPr>
        <w:t xml:space="preserve">ie menționat că instrumentul cu </w:t>
      </w:r>
      <w:r w:rsidRPr="005F74EB">
        <w:rPr>
          <w:sz w:val="24"/>
          <w:szCs w:val="24"/>
          <w:lang w:val="ro-RO"/>
        </w:rPr>
        <w:t xml:space="preserve">care au fost culese datele, respectiv </w:t>
      </w:r>
      <w:r>
        <w:rPr>
          <w:sz w:val="24"/>
          <w:szCs w:val="24"/>
          <w:lang w:val="ro-RO"/>
        </w:rPr>
        <w:t xml:space="preserve">scala de victimizare a elevilor </w:t>
      </w:r>
      <w:r w:rsidRPr="005F74EB">
        <w:rPr>
          <w:sz w:val="24"/>
          <w:szCs w:val="24"/>
          <w:lang w:val="ro-RO"/>
        </w:rPr>
        <w:t>din clasa a VIII-a, a fost modifi</w:t>
      </w:r>
      <w:r>
        <w:rPr>
          <w:sz w:val="24"/>
          <w:szCs w:val="24"/>
          <w:lang w:val="ro-RO"/>
        </w:rPr>
        <w:t xml:space="preserve">cat pentru a surprinde mai bine </w:t>
      </w:r>
      <w:r w:rsidRPr="005F74EB">
        <w:rPr>
          <w:sz w:val="24"/>
          <w:szCs w:val="24"/>
          <w:lang w:val="ro-RO"/>
        </w:rPr>
        <w:t>tendințele actuale din social media și cyber-bullying.</w:t>
      </w:r>
    </w:p>
    <w:p w14:paraId="5EAA08A5" w14:textId="77777777" w:rsidR="00D93CBF" w:rsidRDefault="00D93CBF" w:rsidP="00D93CBF">
      <w:pPr>
        <w:jc w:val="both"/>
        <w:rPr>
          <w:b/>
          <w:i/>
          <w:sz w:val="24"/>
          <w:szCs w:val="24"/>
          <w:lang w:val="ro-RO"/>
        </w:rPr>
      </w:pPr>
      <w:r w:rsidRPr="00D93CBF">
        <w:rPr>
          <w:b/>
          <w:i/>
          <w:sz w:val="24"/>
          <w:szCs w:val="24"/>
          <w:lang w:val="ro-RO"/>
        </w:rPr>
        <w:t>Concluzii</w:t>
      </w:r>
    </w:p>
    <w:p w14:paraId="3C1A7CC1" w14:textId="77777777" w:rsidR="00D93CBF" w:rsidRDefault="00D93CBF" w:rsidP="00D93CBF">
      <w:pPr>
        <w:jc w:val="both"/>
        <w:rPr>
          <w:sz w:val="24"/>
          <w:szCs w:val="24"/>
          <w:lang w:val="ro-RO"/>
        </w:rPr>
      </w:pPr>
      <w:r w:rsidRPr="00D93CBF">
        <w:rPr>
          <w:sz w:val="24"/>
          <w:szCs w:val="24"/>
          <w:lang w:val="ro-RO"/>
        </w:rPr>
        <w:t>Implicațiile pentru polit</w:t>
      </w:r>
      <w:r>
        <w:rPr>
          <w:sz w:val="24"/>
          <w:szCs w:val="24"/>
          <w:lang w:val="ro-RO"/>
        </w:rPr>
        <w:t xml:space="preserve">icile educaționale sunt enorme, </w:t>
      </w:r>
      <w:r w:rsidRPr="00D93CBF">
        <w:rPr>
          <w:sz w:val="24"/>
          <w:szCs w:val="24"/>
          <w:lang w:val="ro-RO"/>
        </w:rPr>
        <w:t xml:space="preserve">existând aici mai multe </w:t>
      </w:r>
      <w:r>
        <w:rPr>
          <w:sz w:val="24"/>
          <w:szCs w:val="24"/>
          <w:lang w:val="ro-RO"/>
        </w:rPr>
        <w:t xml:space="preserve">variante care merită explorate, </w:t>
      </w:r>
      <w:r w:rsidRPr="00D93CBF">
        <w:rPr>
          <w:sz w:val="24"/>
          <w:szCs w:val="24"/>
          <w:lang w:val="ro-RO"/>
        </w:rPr>
        <w:t>fiecare cu consecințe diferite pentru posibil</w:t>
      </w:r>
      <w:r>
        <w:rPr>
          <w:sz w:val="24"/>
          <w:szCs w:val="24"/>
          <w:lang w:val="ro-RO"/>
        </w:rPr>
        <w:t xml:space="preserve">e intervenții </w:t>
      </w:r>
      <w:r w:rsidRPr="00D93CBF">
        <w:rPr>
          <w:sz w:val="24"/>
          <w:szCs w:val="24"/>
          <w:lang w:val="ro-RO"/>
        </w:rPr>
        <w:t>sau pentru politici anti-bullying:</w:t>
      </w:r>
    </w:p>
    <w:p w14:paraId="5F30D7A5" w14:textId="5EE3AA54" w:rsidR="00D93CBF" w:rsidRPr="002D284C" w:rsidRDefault="002D284C" w:rsidP="002D284C">
      <w:pPr>
        <w:jc w:val="both"/>
        <w:rPr>
          <w:sz w:val="24"/>
          <w:szCs w:val="24"/>
          <w:lang w:val="ro-RO"/>
        </w:rPr>
      </w:pPr>
      <w:r>
        <w:rPr>
          <w:rFonts w:cstheme="minorHAnsi"/>
          <w:sz w:val="24"/>
          <w:szCs w:val="24"/>
          <w:lang w:val="ro-RO"/>
        </w:rPr>
        <w:t>•</w:t>
      </w:r>
      <w:r>
        <w:rPr>
          <w:sz w:val="24"/>
          <w:szCs w:val="24"/>
          <w:lang w:val="ro-RO"/>
        </w:rPr>
        <w:t xml:space="preserve">  </w:t>
      </w:r>
      <w:r w:rsidR="00D93CBF" w:rsidRPr="002D284C">
        <w:rPr>
          <w:sz w:val="24"/>
          <w:szCs w:val="24"/>
          <w:lang w:val="ro-RO"/>
        </w:rPr>
        <w:t xml:space="preserve">Dacă, în sine, caracteristicile de performanță sunt o cauză a bullying-ului, de exemplu, pentru că elevii cu o structură motivațională puternică atrag comportamente agresive ale colegilor din cauza încălcării normelor grupului în ceea ce privește performanța școlară, atunci se pune problema diagnozei climatului specific școlii sau chiar a sistemului general de valori. Performanța </w:t>
      </w:r>
      <w:r w:rsidR="00D93CBF" w:rsidRPr="002D284C">
        <w:rPr>
          <w:sz w:val="24"/>
          <w:szCs w:val="24"/>
          <w:lang w:val="ro-RO"/>
        </w:rPr>
        <w:lastRenderedPageBreak/>
        <w:t>vizibilă îi face și pe performeri la fel de vizibili, dar cu riscurile de interacțiune sau de recunoaștere asociate.</w:t>
      </w:r>
    </w:p>
    <w:p w14:paraId="6FCDC57B" w14:textId="71E45026" w:rsidR="00D93CBF" w:rsidRPr="002D284C" w:rsidRDefault="002D284C" w:rsidP="002D284C">
      <w:pPr>
        <w:jc w:val="both"/>
        <w:rPr>
          <w:sz w:val="24"/>
          <w:szCs w:val="24"/>
          <w:lang w:val="ro-RO"/>
        </w:rPr>
      </w:pPr>
      <w:r>
        <w:rPr>
          <w:rFonts w:cstheme="minorHAnsi"/>
          <w:sz w:val="24"/>
          <w:szCs w:val="24"/>
          <w:lang w:val="ro-RO"/>
        </w:rPr>
        <w:t>•</w:t>
      </w:r>
      <w:r>
        <w:rPr>
          <w:sz w:val="24"/>
          <w:szCs w:val="24"/>
          <w:lang w:val="ro-RO"/>
        </w:rPr>
        <w:t xml:space="preserve">  </w:t>
      </w:r>
      <w:r w:rsidR="00D93CBF" w:rsidRPr="002D284C">
        <w:rPr>
          <w:sz w:val="24"/>
          <w:szCs w:val="24"/>
          <w:lang w:val="ro-RO"/>
        </w:rPr>
        <w:t>În condițiile în care nu este evident dacă nu cumva elevii cu deficite de performanță severe sunt expuși, fără știința decidentului, riscului victimizării, se ridică o serie de probleme serioase pentru politicile de incluziune socială axate pe acordarea unei atenții deosebite sprijinirii și încurajării elevilor cu performanțe scăzute, în scopul de a reduce diferențele între elevi. De asemenea, dacă aceste diferențe nu pot fi reduse din motive extreme sau obiective, poate varianta cea mai potrivită ar fi de a nu forța incluziunea, căci cele mai bune intenții ar putea fi acoperite de un eșec dureros pentru toți participanții la procesul educațional.</w:t>
      </w:r>
    </w:p>
    <w:p w14:paraId="441DF924" w14:textId="31C8A1AD" w:rsidR="00D93CBF" w:rsidRPr="002D284C" w:rsidRDefault="002D284C" w:rsidP="002D284C">
      <w:pPr>
        <w:jc w:val="both"/>
        <w:rPr>
          <w:sz w:val="24"/>
          <w:szCs w:val="24"/>
          <w:lang w:val="ro-RO"/>
        </w:rPr>
      </w:pPr>
      <w:r>
        <w:rPr>
          <w:rFonts w:cstheme="minorHAnsi"/>
          <w:sz w:val="24"/>
          <w:szCs w:val="24"/>
          <w:lang w:val="ro-RO"/>
        </w:rPr>
        <w:t>•</w:t>
      </w:r>
      <w:r>
        <w:rPr>
          <w:sz w:val="24"/>
          <w:szCs w:val="24"/>
          <w:lang w:val="ro-RO"/>
        </w:rPr>
        <w:t xml:space="preserve">  </w:t>
      </w:r>
      <w:r w:rsidR="00D93CBF" w:rsidRPr="002D284C">
        <w:rPr>
          <w:sz w:val="24"/>
          <w:szCs w:val="24"/>
          <w:lang w:val="ro-RO"/>
        </w:rPr>
        <w:t>Se identifică nevoia concludentă de a identifica mecanisme și procese prin care elevii cu performanțe foarte ridicate să fie sprijiniți, în aceeași manieră cu cei care manifestă performanțe scăzute, pentru a preîntâmpina cazurile de victimizare de către colegi. Construirea unui climat de sprijin colegial și încurajarea învățării între elevii din aceeași clasă, dar de niveluri de performanță diferite, reprezintă câteva dintre modalitățile prin care „devierea” de la media de performanță (crescută sau scăzută) ar putea să nu reprezinte obiectul bullying-ului, ci o oportunitate de valorificare a învățării colegiale.</w:t>
      </w:r>
    </w:p>
    <w:p w14:paraId="4CEBC4DA" w14:textId="38FE5877" w:rsidR="00D93CBF" w:rsidRPr="002D284C" w:rsidRDefault="002D284C" w:rsidP="002D284C">
      <w:pPr>
        <w:jc w:val="both"/>
        <w:rPr>
          <w:sz w:val="24"/>
          <w:szCs w:val="24"/>
          <w:lang w:val="ro-RO"/>
        </w:rPr>
      </w:pPr>
      <w:r>
        <w:rPr>
          <w:rFonts w:cstheme="minorHAnsi"/>
          <w:sz w:val="24"/>
          <w:szCs w:val="24"/>
          <w:lang w:val="ro-RO"/>
        </w:rPr>
        <w:t>•</w:t>
      </w:r>
      <w:r>
        <w:rPr>
          <w:sz w:val="24"/>
          <w:szCs w:val="24"/>
          <w:lang w:val="ro-RO"/>
        </w:rPr>
        <w:t xml:space="preserve">  </w:t>
      </w:r>
      <w:r w:rsidR="00D93CBF" w:rsidRPr="002D284C">
        <w:rPr>
          <w:sz w:val="24"/>
          <w:szCs w:val="24"/>
          <w:lang w:val="ro-RO"/>
        </w:rPr>
        <w:t>În sensul unor demersuri educaționale congruente cu nevoile de optimizare a climatului educațional și a formării competențelor personale, în acord cu un set bine definit de valori și atitudini, poate fi considerată accentuarea aspectelor de empatie, implicare socială, reactivitate la nevoile celorlalți, sprijin reciproc și apartenență la grup, ca dimensiuni transversale, pe diferite discipline din curriculum, prin nuanțare și evidențiere a unor tușe specifice în cadrul activităților la clasă. Mai mult, sarcinile în echipă și metodele nonformale pot fi un real suport pentru consolidarea coeziunii de grup și întărirea relațiilor interpersonale.</w:t>
      </w:r>
    </w:p>
    <w:p w14:paraId="0BEBB2D2" w14:textId="4EB5AC42" w:rsidR="00D93CBF" w:rsidRPr="002D284C" w:rsidRDefault="002D284C" w:rsidP="002D284C">
      <w:pPr>
        <w:jc w:val="both"/>
        <w:rPr>
          <w:sz w:val="24"/>
          <w:szCs w:val="24"/>
          <w:lang w:val="ro-RO"/>
        </w:rPr>
      </w:pPr>
      <w:r>
        <w:rPr>
          <w:rFonts w:cstheme="minorHAnsi"/>
          <w:sz w:val="24"/>
          <w:szCs w:val="24"/>
          <w:lang w:val="ro-RO"/>
        </w:rPr>
        <w:t>•</w:t>
      </w:r>
      <w:r>
        <w:rPr>
          <w:sz w:val="24"/>
          <w:szCs w:val="24"/>
          <w:lang w:val="ro-RO"/>
        </w:rPr>
        <w:t xml:space="preserve"> </w:t>
      </w:r>
      <w:r>
        <w:rPr>
          <w:sz w:val="24"/>
          <w:szCs w:val="24"/>
          <w:lang w:val="ro-RO"/>
        </w:rPr>
        <w:t xml:space="preserve"> </w:t>
      </w:r>
      <w:r w:rsidR="00D93CBF" w:rsidRPr="002D284C">
        <w:rPr>
          <w:sz w:val="24"/>
          <w:szCs w:val="24"/>
          <w:lang w:val="ro-RO"/>
        </w:rPr>
        <w:t>Înțelegerea climatului școlar și a nevoilor concrete de sprijin nu ar trebui să reprezinte un demers sporadic, ci o constantă a armonizării practicilor existente la nivelul fiecărei instituții de învățământ. În acest sens, managerii de școli și cadrele didactice au responsabilitatea de „a lua pulsul” relațiilor interpersonale dintre elevi și a înțelege care sunt cazurile și contextele care pot duce la bullying. Astfel, accentul nu va mai cădea pe soluționare, ci pe prevenire, astfel încât intervențiile să fie mai degrabă concentrate pe formare și sensibilizare, decât pe coerciție și recuperare.</w:t>
      </w:r>
    </w:p>
    <w:p w14:paraId="6C37CAAC" w14:textId="1C96C8A0" w:rsidR="00D93CBF" w:rsidRPr="002D284C" w:rsidRDefault="002D284C" w:rsidP="002D284C">
      <w:pPr>
        <w:jc w:val="both"/>
        <w:rPr>
          <w:sz w:val="24"/>
          <w:szCs w:val="24"/>
          <w:lang w:val="ro-RO"/>
        </w:rPr>
      </w:pPr>
      <w:bookmarkStart w:id="0" w:name="_GoBack"/>
      <w:r>
        <w:rPr>
          <w:rFonts w:cstheme="minorHAnsi"/>
          <w:sz w:val="24"/>
          <w:szCs w:val="24"/>
          <w:lang w:val="ro-RO"/>
        </w:rPr>
        <w:t>•</w:t>
      </w:r>
      <w:r>
        <w:rPr>
          <w:sz w:val="24"/>
          <w:szCs w:val="24"/>
          <w:lang w:val="ro-RO"/>
        </w:rPr>
        <w:t xml:space="preserve"> </w:t>
      </w:r>
      <w:r>
        <w:rPr>
          <w:sz w:val="24"/>
          <w:szCs w:val="24"/>
          <w:lang w:val="ro-RO"/>
        </w:rPr>
        <w:t xml:space="preserve"> </w:t>
      </w:r>
      <w:bookmarkEnd w:id="0"/>
      <w:r w:rsidR="00D93CBF" w:rsidRPr="002D284C">
        <w:rPr>
          <w:sz w:val="24"/>
          <w:szCs w:val="24"/>
          <w:lang w:val="ro-RO"/>
        </w:rPr>
        <w:t>Politicile educaționale, dar și proiectele de dezvoltare ale școlilor ar trebui să conțină în mod explicit activități pentru a diagnostica starea de bine a elevilor și a profesorilor și mai ales intervenții focalizate pe îmbunătățirea calității interacțiunilor.</w:t>
      </w:r>
    </w:p>
    <w:p w14:paraId="33672504" w14:textId="0FF115A3" w:rsidR="00D93CBF" w:rsidRPr="00D93CBF" w:rsidRDefault="00D93CBF" w:rsidP="00D93CBF">
      <w:pPr>
        <w:jc w:val="both"/>
        <w:rPr>
          <w:b/>
          <w:sz w:val="24"/>
          <w:szCs w:val="24"/>
          <w:lang w:val="ro-RO"/>
        </w:rPr>
      </w:pPr>
      <w:r>
        <w:rPr>
          <w:sz w:val="24"/>
          <w:szCs w:val="24"/>
          <w:lang w:val="ro-RO"/>
        </w:rPr>
        <w:t xml:space="preserve">Varianta integrală a documentului </w:t>
      </w:r>
      <w:r w:rsidRPr="00B55907">
        <w:rPr>
          <w:b/>
          <w:sz w:val="24"/>
          <w:szCs w:val="24"/>
          <w:lang w:val="ro-RO"/>
        </w:rPr>
        <w:t xml:space="preserve">Policy info 2/2022. Relația dintre bullying și performanța școlară a </w:t>
      </w:r>
      <w:r>
        <w:rPr>
          <w:b/>
          <w:sz w:val="24"/>
          <w:szCs w:val="24"/>
          <w:lang w:val="ro-RO"/>
        </w:rPr>
        <w:t>elevilor din Ro</w:t>
      </w:r>
      <w:r w:rsidRPr="00B55907">
        <w:rPr>
          <w:b/>
          <w:sz w:val="24"/>
          <w:szCs w:val="24"/>
          <w:lang w:val="ro-RO"/>
        </w:rPr>
        <w:t xml:space="preserve">mânia </w:t>
      </w:r>
      <w:r>
        <w:rPr>
          <w:sz w:val="24"/>
          <w:szCs w:val="24"/>
          <w:lang w:val="ro-RO"/>
        </w:rPr>
        <w:t xml:space="preserve">poate fi consultată </w:t>
      </w:r>
      <w:hyperlink r:id="rId9" w:history="1">
        <w:r w:rsidRPr="002D284C">
          <w:rPr>
            <w:rStyle w:val="Hyperlink"/>
            <w:b/>
            <w:sz w:val="24"/>
            <w:szCs w:val="24"/>
            <w:lang w:val="ro-RO"/>
          </w:rPr>
          <w:t>aici</w:t>
        </w:r>
      </w:hyperlink>
      <w:r>
        <w:rPr>
          <w:sz w:val="24"/>
          <w:szCs w:val="24"/>
          <w:lang w:val="ro-RO"/>
        </w:rPr>
        <w:t>.</w:t>
      </w:r>
    </w:p>
    <w:p w14:paraId="1703E019" w14:textId="77777777" w:rsidR="00D93CBF" w:rsidRPr="00D93CBF" w:rsidRDefault="00D93CBF" w:rsidP="00D93CBF">
      <w:pPr>
        <w:jc w:val="both"/>
        <w:rPr>
          <w:sz w:val="24"/>
          <w:szCs w:val="24"/>
          <w:lang w:val="ro-RO"/>
        </w:rPr>
      </w:pPr>
    </w:p>
    <w:p w14:paraId="0AB8EA2A" w14:textId="77777777" w:rsidR="00EC5CC0" w:rsidRPr="00EC5CC0" w:rsidRDefault="00EC5CC0" w:rsidP="00EC5CC0">
      <w:pPr>
        <w:jc w:val="both"/>
        <w:rPr>
          <w:sz w:val="24"/>
          <w:szCs w:val="24"/>
          <w:lang w:val="ro-RO"/>
        </w:rPr>
      </w:pPr>
    </w:p>
    <w:sectPr w:rsidR="00EC5CC0" w:rsidRPr="00EC5CC0">
      <w:pgSz w:w="12240" w:h="15840"/>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1A3B1" w16cex:dateUtc="2022-04-01T13:15:00Z"/>
  <w16cex:commentExtensible w16cex:durableId="25F1A4AC" w16cex:dateUtc="2022-04-01T13: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AFD822" w16cid:durableId="25F1A3B1"/>
  <w16cid:commentId w16cid:paraId="2CEA5608" w16cid:durableId="25F1A4A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7E24FC"/>
    <w:multiLevelType w:val="hybridMultilevel"/>
    <w:tmpl w:val="C030667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C49"/>
    <w:rsid w:val="000061A4"/>
    <w:rsid w:val="001F5785"/>
    <w:rsid w:val="00223C49"/>
    <w:rsid w:val="002D284C"/>
    <w:rsid w:val="00325043"/>
    <w:rsid w:val="005F74EB"/>
    <w:rsid w:val="006137BA"/>
    <w:rsid w:val="00693D02"/>
    <w:rsid w:val="007E26A5"/>
    <w:rsid w:val="00905EEC"/>
    <w:rsid w:val="00B55907"/>
    <w:rsid w:val="00D93CBF"/>
    <w:rsid w:val="00DE1614"/>
    <w:rsid w:val="00EC5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ABDB6"/>
  <w15:chartTrackingRefBased/>
  <w15:docId w15:val="{AB990BE3-4379-4458-9D1A-9D5D19FE4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5CC0"/>
    <w:rPr>
      <w:color w:val="0563C1" w:themeColor="hyperlink"/>
      <w:u w:val="single"/>
    </w:rPr>
  </w:style>
  <w:style w:type="character" w:styleId="CommentReference">
    <w:name w:val="annotation reference"/>
    <w:basedOn w:val="DefaultParagraphFont"/>
    <w:uiPriority w:val="99"/>
    <w:semiHidden/>
    <w:unhideWhenUsed/>
    <w:rsid w:val="006137BA"/>
    <w:rPr>
      <w:sz w:val="16"/>
      <w:szCs w:val="16"/>
    </w:rPr>
  </w:style>
  <w:style w:type="paragraph" w:styleId="CommentText">
    <w:name w:val="annotation text"/>
    <w:basedOn w:val="Normal"/>
    <w:link w:val="CommentTextChar"/>
    <w:uiPriority w:val="99"/>
    <w:semiHidden/>
    <w:unhideWhenUsed/>
    <w:rsid w:val="006137BA"/>
    <w:pPr>
      <w:spacing w:line="240" w:lineRule="auto"/>
    </w:pPr>
    <w:rPr>
      <w:sz w:val="20"/>
      <w:szCs w:val="20"/>
    </w:rPr>
  </w:style>
  <w:style w:type="character" w:customStyle="1" w:styleId="CommentTextChar">
    <w:name w:val="Comment Text Char"/>
    <w:basedOn w:val="DefaultParagraphFont"/>
    <w:link w:val="CommentText"/>
    <w:uiPriority w:val="99"/>
    <w:semiHidden/>
    <w:rsid w:val="006137BA"/>
    <w:rPr>
      <w:sz w:val="20"/>
      <w:szCs w:val="20"/>
    </w:rPr>
  </w:style>
  <w:style w:type="paragraph" w:styleId="CommentSubject">
    <w:name w:val="annotation subject"/>
    <w:basedOn w:val="CommentText"/>
    <w:next w:val="CommentText"/>
    <w:link w:val="CommentSubjectChar"/>
    <w:uiPriority w:val="99"/>
    <w:semiHidden/>
    <w:unhideWhenUsed/>
    <w:rsid w:val="006137BA"/>
    <w:rPr>
      <w:b/>
      <w:bCs/>
    </w:rPr>
  </w:style>
  <w:style w:type="character" w:customStyle="1" w:styleId="CommentSubjectChar">
    <w:name w:val="Comment Subject Char"/>
    <w:basedOn w:val="CommentTextChar"/>
    <w:link w:val="CommentSubject"/>
    <w:uiPriority w:val="99"/>
    <w:semiHidden/>
    <w:rsid w:val="006137BA"/>
    <w:rPr>
      <w:b/>
      <w:bCs/>
      <w:sz w:val="20"/>
      <w:szCs w:val="20"/>
    </w:rPr>
  </w:style>
  <w:style w:type="paragraph" w:styleId="ListParagraph">
    <w:name w:val="List Paragraph"/>
    <w:basedOn w:val="Normal"/>
    <w:uiPriority w:val="34"/>
    <w:qFormat/>
    <w:rsid w:val="007E26A5"/>
    <w:pPr>
      <w:ind w:left="720"/>
      <w:contextualSpacing/>
    </w:pPr>
  </w:style>
  <w:style w:type="paragraph" w:styleId="BalloonText">
    <w:name w:val="Balloon Text"/>
    <w:basedOn w:val="Normal"/>
    <w:link w:val="BalloonTextChar"/>
    <w:uiPriority w:val="99"/>
    <w:semiHidden/>
    <w:unhideWhenUsed/>
    <w:rsid w:val="002D28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8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buc.ro/wp-content/uploads/2022/04/Policy-info-TIMSS-NO-1-MARTIE-2022.pdf"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hyperlink" Target="https://drive.google.com/file/d/1qq24k7SE5HUaCeWY4qG6FcGNp_deSzby/edit" TargetMode="Externa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ibuc.ro/wp-content/uploads/2021/06/TIMSS-Raport-de-tara-2021-05-07.pdf"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nibuc.ro/wp-content/uploads/2022/04/Policy-info-TIMSS-NO-2-MARTIE-20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66232-5D4A-4939-9E6E-69C99C708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1420</Words>
  <Characters>8097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 Dorel Miclea</dc:creator>
  <cp:keywords/>
  <dc:description/>
  <cp:lastModifiedBy>Ioan Dorel Miclea</cp:lastModifiedBy>
  <cp:revision>5</cp:revision>
  <dcterms:created xsi:type="dcterms:W3CDTF">2022-04-01T13:20:00Z</dcterms:created>
  <dcterms:modified xsi:type="dcterms:W3CDTF">2022-04-05T09:47:00Z</dcterms:modified>
</cp:coreProperties>
</file>