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4264406D" w:rsidR="003238AF" w:rsidRPr="00393E4F" w:rsidRDefault="002A67C0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sz w:val="24"/>
          <w:szCs w:val="24"/>
          <w:lang w:val="en-GB"/>
        </w:rPr>
        <w:t>CIVIS</w:t>
      </w:r>
      <w:r>
        <w:rPr>
          <w:rFonts w:ascii="Times" w:hAnsi="Times"/>
          <w:b/>
          <w:sz w:val="24"/>
          <w:szCs w:val="24"/>
          <w:lang w:val="en-GB"/>
        </w:rPr>
        <w:t xml:space="preserve"> Mobility Opportunities within a </w:t>
      </w:r>
      <w:r w:rsidR="00393E4F" w:rsidRPr="00393E4F">
        <w:rPr>
          <w:rFonts w:ascii="Times" w:hAnsi="Times"/>
          <w:b/>
          <w:sz w:val="24"/>
          <w:szCs w:val="24"/>
          <w:lang w:val="en-GB"/>
        </w:rPr>
        <w:t>new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>seri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>es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of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dedicated to Social Sciences and Humanities Students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3449463A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>Students in social sciences and humanities from all levels of studies and all thematic areas circumscribed to the fields have the opportunity to apply to a series of BIPs with deadline on 30 November 2022:</w:t>
      </w:r>
    </w:p>
    <w:p w14:paraId="632E054A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6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Refugee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legacies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museum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sites</w:t>
        </w:r>
        <w:proofErr w:type="spellEnd"/>
      </w:hyperlink>
    </w:p>
    <w:p w14:paraId="778DD6B3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7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In/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Transitive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Modernities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: Dis/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continuities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Cultural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Transformation</w:t>
        </w:r>
        <w:proofErr w:type="spellEnd"/>
      </w:hyperlink>
    </w:p>
    <w:p w14:paraId="177283AC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8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Rights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Democracy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Multilevel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Protection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Fundamental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Rights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Role of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Constitutional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European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Courts</w:t>
        </w:r>
        <w:proofErr w:type="spellEnd"/>
      </w:hyperlink>
    </w:p>
    <w:p w14:paraId="1F320DAA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9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French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travellers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lands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(AMU)</w:t>
        </w:r>
      </w:hyperlink>
    </w:p>
    <w:p w14:paraId="5E4304BA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0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Roman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Mobilities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Movement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persons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animals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objects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ideas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ancient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Roman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world</w:t>
        </w:r>
        <w:proofErr w:type="spellEnd"/>
      </w:hyperlink>
    </w:p>
    <w:p w14:paraId="4C1948D5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1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Refugees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Migrants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Exiles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German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Comparative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Literature</w:t>
        </w:r>
        <w:proofErr w:type="spellEnd"/>
      </w:hyperlink>
    </w:p>
    <w:p w14:paraId="010BF77D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2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Religion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power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Eastern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Late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Antiquity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Early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Middle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Ages</w:t>
        </w:r>
        <w:proofErr w:type="spellEnd"/>
      </w:hyperlink>
    </w:p>
    <w:p w14:paraId="43221D4C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3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European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Renaissance</w:t>
        </w:r>
        <w:proofErr w:type="spellEnd"/>
      </w:hyperlink>
    </w:p>
    <w:p w14:paraId="0ECAD0DE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4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Participatory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tools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urban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planning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management</w:t>
        </w:r>
      </w:hyperlink>
    </w:p>
    <w:p w14:paraId="15BB94F1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5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Care, Agency,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Repair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Alternative Modern(c)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(CARE)</w:t>
        </w:r>
      </w:hyperlink>
    </w:p>
    <w:p w14:paraId="584D8F2E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6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CHANCE: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Undergraduate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Research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Delta</w:t>
        </w:r>
      </w:hyperlink>
    </w:p>
    <w:p w14:paraId="327AC94E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7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their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diachronies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(Focus on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historical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contact)</w:t>
        </w:r>
      </w:hyperlink>
    </w:p>
    <w:p w14:paraId="2B8976E6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8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Money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Coinage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A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Cross-Cultural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Perspective</w:t>
        </w:r>
      </w:hyperlink>
    </w:p>
    <w:p w14:paraId="53A32CEC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9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Multicultural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multilingual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Mediation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: Second or/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foreign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Acquisition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example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German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</w:t>
        </w:r>
        <w:proofErr w:type="spellEnd"/>
      </w:hyperlink>
    </w:p>
    <w:p w14:paraId="35FF2BA2" w14:textId="77777777" w:rsidR="002A67C0" w:rsidRPr="00D53727" w:rsidRDefault="00547E8F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20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Circular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Economy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Territories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Make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The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)</w:t>
        </w:r>
      </w:hyperlink>
    </w:p>
    <w:p w14:paraId="1996DA46" w14:textId="77777777" w:rsidR="00393E4F" w:rsidRPr="002A67C0" w:rsidRDefault="00393E4F" w:rsidP="00393E4F">
      <w:pPr>
        <w:pStyle w:val="Listparagraf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29E1DC7E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21" w:history="1">
        <w:r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>
        <w:rPr>
          <w:rFonts w:ascii="Times" w:hAnsi="Times"/>
          <w:bCs/>
          <w:sz w:val="24"/>
          <w:szCs w:val="24"/>
          <w:lang w:val="en-GB"/>
        </w:rPr>
        <w:t xml:space="preserve">.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</w:t>
      </w:r>
      <w:r w:rsidR="00547E8F">
        <w:rPr>
          <w:rFonts w:ascii="Times" w:hAnsi="Times"/>
          <w:b/>
          <w:bCs/>
          <w:sz w:val="24"/>
          <w:szCs w:val="24"/>
          <w:lang w:val="en-GB"/>
        </w:rPr>
        <w:t xml:space="preserve">closes on </w:t>
      </w:r>
      <w:bookmarkStart w:id="0" w:name="_GoBack"/>
      <w:bookmarkEnd w:id="0"/>
      <w:r>
        <w:rPr>
          <w:rFonts w:ascii="Times" w:hAnsi="Times"/>
          <w:b/>
          <w:bCs/>
          <w:sz w:val="24"/>
          <w:szCs w:val="24"/>
          <w:lang w:val="en-GB"/>
        </w:rPr>
        <w:t>30 November 2022.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</w:t>
      </w:r>
      <w:proofErr w:type="gramStart"/>
      <w:r w:rsidRPr="00393E4F">
        <w:rPr>
          <w:rFonts w:ascii="Times" w:hAnsi="Times"/>
          <w:bCs/>
          <w:sz w:val="24"/>
          <w:szCs w:val="24"/>
          <w:lang w:val="en-GB"/>
        </w:rPr>
        <w:t>are</w:t>
      </w:r>
      <w:proofErr w:type="gramEnd"/>
      <w:r w:rsidRPr="00393E4F">
        <w:rPr>
          <w:rFonts w:ascii="Times" w:hAnsi="Times"/>
          <w:bCs/>
          <w:sz w:val="24"/>
          <w:szCs w:val="24"/>
          <w:lang w:val="en-GB"/>
        </w:rPr>
        <w:t xml:space="preserve"> available on the dedicated webpage </w:t>
      </w:r>
      <w:hyperlink r:id="rId22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23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lastRenderedPageBreak/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Universität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Tübingen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D47DB"/>
    <w:rsid w:val="004D7F52"/>
    <w:rsid w:val="004F5A63"/>
    <w:rsid w:val="00547E8F"/>
    <w:rsid w:val="00560402"/>
    <w:rsid w:val="005D3B69"/>
    <w:rsid w:val="005D4509"/>
    <w:rsid w:val="00606BAF"/>
    <w:rsid w:val="0062665E"/>
    <w:rsid w:val="006A78C3"/>
    <w:rsid w:val="00701D25"/>
    <w:rsid w:val="007100C7"/>
    <w:rsid w:val="007626D3"/>
    <w:rsid w:val="00816F3E"/>
    <w:rsid w:val="008C33FC"/>
    <w:rsid w:val="009410D7"/>
    <w:rsid w:val="00956F95"/>
    <w:rsid w:val="00A600AF"/>
    <w:rsid w:val="00B673C3"/>
    <w:rsid w:val="00BB320C"/>
    <w:rsid w:val="00C1272A"/>
    <w:rsid w:val="00C7355E"/>
    <w:rsid w:val="00CD2ECF"/>
    <w:rsid w:val="00CD742E"/>
    <w:rsid w:val="00D90A8C"/>
    <w:rsid w:val="00DD3FCD"/>
    <w:rsid w:val="00EA047E"/>
    <w:rsid w:val="00F04312"/>
    <w:rsid w:val="00F05E3D"/>
    <w:rsid w:val="00F224FE"/>
    <w:rsid w:val="00F717E3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rights-and-democracy-the-multilevel-protection-of-fundamental-rights-and-the-role-of-constitutional-and-european-courts-1" TargetMode="External"/><Relationship Id="rId13" Type="http://schemas.openxmlformats.org/officeDocument/2006/relationships/hyperlink" Target="https://civis.eu/en/civis-courses/european-renaissance-1" TargetMode="External"/><Relationship Id="rId18" Type="http://schemas.openxmlformats.org/officeDocument/2006/relationships/hyperlink" Target="https://civis.eu/en/civis-courses/the-heritage-of-money-and-coinage-a-cross-cultural-perspectiv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ivis.eu/en/civis-courses" TargetMode="External"/><Relationship Id="rId7" Type="http://schemas.openxmlformats.org/officeDocument/2006/relationships/hyperlink" Target="https://civis.eu/en/civis-courses/in-transitive-modernities-dis-continuities-and-cultural-transformation" TargetMode="External"/><Relationship Id="rId12" Type="http://schemas.openxmlformats.org/officeDocument/2006/relationships/hyperlink" Target="https://civis.eu/en/civis-courses/religion-and-power-in-the-eastern-mediterranean-in-late-antiquity-and-early-middle-ages-1" TargetMode="External"/><Relationship Id="rId17" Type="http://schemas.openxmlformats.org/officeDocument/2006/relationships/hyperlink" Target="https://civis.eu/en/civis-courses/languages-in-europe-and-their-diachronies-focus-on-historical-language-contac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/chance-undergraduate-research-on-the-sustainability-of-the-danube-delta" TargetMode="External"/><Relationship Id="rId20" Type="http://schemas.openxmlformats.org/officeDocument/2006/relationships/hyperlink" Target="https://civis.eu/en/civis-courses/circular-economy-in-cities-and-territories-make-visible-the-invisib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refugee-legacies-in-museum-and-heritage-sites" TargetMode="External"/><Relationship Id="rId11" Type="http://schemas.openxmlformats.org/officeDocument/2006/relationships/hyperlink" Target="https://civis.eu/en/civis-courses/refugees-migrants-and-exiles-in-german-and-comparative-literature-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/care-agency-repair-engagement-in-alternative-modern-c-ities-care" TargetMode="External"/><Relationship Id="rId23" Type="http://schemas.openxmlformats.org/officeDocument/2006/relationships/hyperlink" Target="https://civis.eu/en/civis-courses" TargetMode="External"/><Relationship Id="rId10" Type="http://schemas.openxmlformats.org/officeDocument/2006/relationships/hyperlink" Target="https://civis.eu/en/civis-courses/roman-mobilities-movement-of-persons-animals-objects-and-ideas-in-the-ancient-roman-world" TargetMode="External"/><Relationship Id="rId19" Type="http://schemas.openxmlformats.org/officeDocument/2006/relationships/hyperlink" Target="https://civis.eu/en/civis-courses/multicultural-and-multilingual-mediation-second-or-and-foreign-language-acquisition-on-the-example-of-the-german-langu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ench-travellers-in-mediterranean-lands-1" TargetMode="External"/><Relationship Id="rId14" Type="http://schemas.openxmlformats.org/officeDocument/2006/relationships/hyperlink" Target="https://civis.eu/en/civis-courses/participatory-tools-for-urban-nature-planning-and-management" TargetMode="External"/><Relationship Id="rId22" Type="http://schemas.openxmlformats.org/officeDocument/2006/relationships/hyperlink" Target="https://civis.eu/en/blended-intensive-programm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14</cp:revision>
  <dcterms:created xsi:type="dcterms:W3CDTF">2022-09-01T10:52:00Z</dcterms:created>
  <dcterms:modified xsi:type="dcterms:W3CDTF">2022-11-08T09:30:00Z</dcterms:modified>
</cp:coreProperties>
</file>