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09A6614" w:rsidR="000F550B" w:rsidRPr="00AE2001" w:rsidRDefault="00000000" w:rsidP="00AE2001">
      <w:pPr>
        <w:spacing w:after="120"/>
        <w:jc w:val="both"/>
        <w:rPr>
          <w:rFonts w:asciiTheme="majorHAnsi" w:hAnsiTheme="majorHAnsi" w:cstheme="majorHAnsi"/>
          <w:b/>
          <w:sz w:val="24"/>
          <w:szCs w:val="24"/>
        </w:rPr>
      </w:pPr>
      <w:r w:rsidRPr="00AE2001">
        <w:rPr>
          <w:rFonts w:asciiTheme="majorHAnsi" w:hAnsiTheme="majorHAnsi" w:cstheme="majorHAnsi"/>
          <w:b/>
          <w:sz w:val="24"/>
          <w:szCs w:val="24"/>
        </w:rPr>
        <w:t>Studenții UB pasionați de mediu, climă și energie, invitați de CIVIS să se înscrie</w:t>
      </w:r>
      <w:r w:rsidR="00AE2001" w:rsidRPr="00AE2001">
        <w:rPr>
          <w:rFonts w:asciiTheme="majorHAnsi" w:hAnsiTheme="majorHAnsi" w:cstheme="majorHAnsi"/>
          <w:b/>
          <w:sz w:val="24"/>
          <w:szCs w:val="24"/>
        </w:rPr>
        <w:t xml:space="preserve"> până pe 31 octombrie</w:t>
      </w:r>
      <w:r w:rsidRPr="00AE2001">
        <w:rPr>
          <w:rFonts w:asciiTheme="majorHAnsi" w:hAnsiTheme="majorHAnsi" w:cstheme="majorHAnsi"/>
          <w:b/>
          <w:sz w:val="24"/>
          <w:szCs w:val="24"/>
        </w:rPr>
        <w:t xml:space="preserve"> la unul dintre </w:t>
      </w:r>
      <w:proofErr w:type="spellStart"/>
      <w:r w:rsidRPr="00AE2001">
        <w:rPr>
          <w:rFonts w:asciiTheme="majorHAnsi" w:hAnsiTheme="majorHAnsi" w:cstheme="majorHAnsi"/>
          <w:b/>
          <w:sz w:val="24"/>
          <w:szCs w:val="24"/>
        </w:rPr>
        <w:t>BIPurile</w:t>
      </w:r>
      <w:proofErr w:type="spellEnd"/>
      <w:r w:rsidRPr="00AE2001">
        <w:rPr>
          <w:rFonts w:asciiTheme="majorHAnsi" w:hAnsiTheme="majorHAnsi" w:cstheme="majorHAnsi"/>
          <w:b/>
          <w:sz w:val="24"/>
          <w:szCs w:val="24"/>
        </w:rPr>
        <w:t xml:space="preserve"> organizate pe aceste teme</w:t>
      </w:r>
    </w:p>
    <w:p w14:paraId="00000003" w14:textId="77777777" w:rsidR="000F550B" w:rsidRPr="00AE2001" w:rsidRDefault="000F550B" w:rsidP="00AE2001">
      <w:pPr>
        <w:spacing w:after="120"/>
        <w:jc w:val="both"/>
        <w:rPr>
          <w:rFonts w:asciiTheme="majorHAnsi" w:hAnsiTheme="majorHAnsi" w:cstheme="majorHAnsi"/>
          <w:sz w:val="24"/>
          <w:szCs w:val="24"/>
        </w:rPr>
      </w:pPr>
    </w:p>
    <w:p w14:paraId="00000005" w14:textId="5B53A6DA" w:rsidR="000F550B" w:rsidRPr="00AE2001" w:rsidRDefault="00000000"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 xml:space="preserve">Schimbările climatice și, implicit, cele de mediu, precum și sursele de energie sunt una dintre cele 5 preocupări majore ale CIVIS. </w:t>
      </w:r>
      <w:r w:rsidR="00AE2001" w:rsidRPr="00AE2001">
        <w:rPr>
          <w:rFonts w:asciiTheme="majorHAnsi" w:hAnsiTheme="majorHAnsi" w:cstheme="majorHAnsi"/>
          <w:sz w:val="24"/>
          <w:szCs w:val="24"/>
        </w:rPr>
        <w:t xml:space="preserve">Acest lucru este evidențiat prin temele propuse în cadrul noii serii de </w:t>
      </w:r>
      <w:proofErr w:type="spellStart"/>
      <w:r w:rsidR="00AE2001" w:rsidRPr="00AE2001">
        <w:rPr>
          <w:rFonts w:asciiTheme="majorHAnsi" w:hAnsiTheme="majorHAnsi" w:cstheme="majorHAnsi"/>
          <w:b/>
          <w:sz w:val="24"/>
          <w:szCs w:val="24"/>
        </w:rPr>
        <w:t>Blended</w:t>
      </w:r>
      <w:proofErr w:type="spellEnd"/>
      <w:r w:rsidR="00AE2001" w:rsidRPr="00AE2001">
        <w:rPr>
          <w:rFonts w:asciiTheme="majorHAnsi" w:hAnsiTheme="majorHAnsi" w:cstheme="majorHAnsi"/>
          <w:b/>
          <w:sz w:val="24"/>
          <w:szCs w:val="24"/>
        </w:rPr>
        <w:t xml:space="preserve"> Intensive </w:t>
      </w:r>
      <w:proofErr w:type="spellStart"/>
      <w:r w:rsidR="00AE2001" w:rsidRPr="00AE2001">
        <w:rPr>
          <w:rFonts w:asciiTheme="majorHAnsi" w:hAnsiTheme="majorHAnsi" w:cstheme="majorHAnsi"/>
          <w:b/>
          <w:sz w:val="24"/>
          <w:szCs w:val="24"/>
        </w:rPr>
        <w:t>Programmes</w:t>
      </w:r>
      <w:proofErr w:type="spellEnd"/>
      <w:r w:rsidR="00AE2001" w:rsidRPr="00AE2001">
        <w:rPr>
          <w:rFonts w:asciiTheme="majorHAnsi" w:hAnsiTheme="majorHAnsi" w:cstheme="majorHAnsi"/>
          <w:b/>
          <w:sz w:val="24"/>
          <w:szCs w:val="24"/>
        </w:rPr>
        <w:t xml:space="preserve"> (</w:t>
      </w:r>
      <w:proofErr w:type="spellStart"/>
      <w:r w:rsidR="00AE2001" w:rsidRPr="00AE2001">
        <w:rPr>
          <w:rFonts w:asciiTheme="majorHAnsi" w:hAnsiTheme="majorHAnsi" w:cstheme="majorHAnsi"/>
          <w:b/>
          <w:sz w:val="24"/>
          <w:szCs w:val="24"/>
        </w:rPr>
        <w:t>BIPs</w:t>
      </w:r>
      <w:proofErr w:type="spellEnd"/>
      <w:r w:rsidR="00AE2001" w:rsidRPr="00AE2001">
        <w:rPr>
          <w:rFonts w:asciiTheme="majorHAnsi" w:hAnsiTheme="majorHAnsi" w:cstheme="majorHAnsi"/>
          <w:b/>
          <w:sz w:val="24"/>
          <w:szCs w:val="24"/>
        </w:rPr>
        <w:t>) CIVIS</w:t>
      </w:r>
      <w:r w:rsidR="00AE2001" w:rsidRPr="00AE2001">
        <w:rPr>
          <w:rFonts w:asciiTheme="majorHAnsi" w:hAnsiTheme="majorHAnsi" w:cstheme="majorHAnsi"/>
          <w:sz w:val="24"/>
          <w:szCs w:val="24"/>
        </w:rPr>
        <w:t xml:space="preserve">. </w:t>
      </w:r>
    </w:p>
    <w:p w14:paraId="00000006" w14:textId="370DFC65" w:rsidR="000F550B" w:rsidRPr="00AE2001" w:rsidRDefault="00AE2001"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Astfel, patru</w:t>
      </w:r>
      <w:r w:rsidR="00000000" w:rsidRPr="00AE2001">
        <w:rPr>
          <w:rFonts w:asciiTheme="majorHAnsi" w:hAnsiTheme="majorHAnsi" w:cstheme="majorHAnsi"/>
          <w:sz w:val="24"/>
          <w:szCs w:val="24"/>
        </w:rPr>
        <w:t xml:space="preserve"> cursuri pe acest subiect îi așteaptă în campania din această toamnă pe studenții interesați de efectele dar, mai ales, de măsurile ce pot fi luate astfel încât aceste schimbări să afecteze din ce în ce mai puțin nu doar umanitatea, ci întreaga planetă: </w:t>
      </w:r>
    </w:p>
    <w:p w14:paraId="00000007" w14:textId="77777777" w:rsidR="000F550B" w:rsidRPr="00AE2001" w:rsidRDefault="00000000" w:rsidP="00AE2001">
      <w:pPr>
        <w:numPr>
          <w:ilvl w:val="0"/>
          <w:numId w:val="1"/>
        </w:numPr>
        <w:spacing w:after="120"/>
        <w:jc w:val="both"/>
        <w:rPr>
          <w:rFonts w:asciiTheme="majorHAnsi" w:hAnsiTheme="majorHAnsi" w:cstheme="majorHAnsi"/>
          <w:sz w:val="24"/>
          <w:szCs w:val="24"/>
        </w:rPr>
      </w:pPr>
      <w:hyperlink r:id="rId5">
        <w:r w:rsidRPr="00AE2001">
          <w:rPr>
            <w:rFonts w:asciiTheme="majorHAnsi" w:hAnsiTheme="majorHAnsi" w:cstheme="majorHAnsi"/>
            <w:color w:val="1155CC"/>
            <w:sz w:val="24"/>
            <w:szCs w:val="24"/>
            <w:u w:val="single"/>
          </w:rPr>
          <w:t xml:space="preserve">Regional climate </w:t>
        </w:r>
        <w:proofErr w:type="spellStart"/>
        <w:r w:rsidRPr="00AE2001">
          <w:rPr>
            <w:rFonts w:asciiTheme="majorHAnsi" w:hAnsiTheme="majorHAnsi" w:cstheme="majorHAnsi"/>
            <w:color w:val="1155CC"/>
            <w:sz w:val="24"/>
            <w:szCs w:val="24"/>
            <w:u w:val="single"/>
          </w:rPr>
          <w:t>change</w:t>
        </w:r>
        <w:proofErr w:type="spellEnd"/>
        <w:r w:rsidRPr="00AE2001">
          <w:rPr>
            <w:rFonts w:asciiTheme="majorHAnsi" w:hAnsiTheme="majorHAnsi" w:cstheme="majorHAnsi"/>
            <w:color w:val="1155CC"/>
            <w:sz w:val="24"/>
            <w:szCs w:val="24"/>
            <w:u w:val="single"/>
          </w:rPr>
          <w:t xml:space="preserve"> impact - cumulative </w:t>
        </w:r>
        <w:proofErr w:type="spellStart"/>
        <w:r w:rsidRPr="00AE2001">
          <w:rPr>
            <w:rFonts w:asciiTheme="majorHAnsi" w:hAnsiTheme="majorHAnsi" w:cstheme="majorHAnsi"/>
            <w:color w:val="1155CC"/>
            <w:sz w:val="24"/>
            <w:szCs w:val="24"/>
            <w:u w:val="single"/>
          </w:rPr>
          <w:t>effects</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and</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mitigation</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scenarios</w:t>
        </w:r>
        <w:proofErr w:type="spellEnd"/>
      </w:hyperlink>
    </w:p>
    <w:p w14:paraId="00000008" w14:textId="77777777" w:rsidR="000F550B" w:rsidRPr="00AE2001" w:rsidRDefault="00000000" w:rsidP="00AE2001">
      <w:pPr>
        <w:numPr>
          <w:ilvl w:val="0"/>
          <w:numId w:val="1"/>
        </w:numPr>
        <w:spacing w:after="120"/>
        <w:jc w:val="both"/>
        <w:rPr>
          <w:rFonts w:asciiTheme="majorHAnsi" w:hAnsiTheme="majorHAnsi" w:cstheme="majorHAnsi"/>
          <w:sz w:val="24"/>
          <w:szCs w:val="24"/>
        </w:rPr>
      </w:pPr>
      <w:hyperlink r:id="rId6">
        <w:r w:rsidRPr="00AE2001">
          <w:rPr>
            <w:rFonts w:asciiTheme="majorHAnsi" w:hAnsiTheme="majorHAnsi" w:cstheme="majorHAnsi"/>
            <w:color w:val="1155CC"/>
            <w:sz w:val="24"/>
            <w:szCs w:val="24"/>
            <w:u w:val="single"/>
          </w:rPr>
          <w:t xml:space="preserve">Natural </w:t>
        </w:r>
        <w:proofErr w:type="spellStart"/>
        <w:r w:rsidRPr="00AE2001">
          <w:rPr>
            <w:rFonts w:asciiTheme="majorHAnsi" w:hAnsiTheme="majorHAnsi" w:cstheme="majorHAnsi"/>
            <w:color w:val="1155CC"/>
            <w:sz w:val="24"/>
            <w:szCs w:val="24"/>
            <w:u w:val="single"/>
          </w:rPr>
          <w:t>Processes</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and</w:t>
        </w:r>
        <w:proofErr w:type="spellEnd"/>
        <w:r w:rsidRPr="00AE2001">
          <w:rPr>
            <w:rFonts w:asciiTheme="majorHAnsi" w:hAnsiTheme="majorHAnsi" w:cstheme="majorHAnsi"/>
            <w:color w:val="1155CC"/>
            <w:sz w:val="24"/>
            <w:szCs w:val="24"/>
            <w:u w:val="single"/>
          </w:rPr>
          <w:t xml:space="preserve"> Climate </w:t>
        </w:r>
        <w:proofErr w:type="spellStart"/>
        <w:r w:rsidRPr="00AE2001">
          <w:rPr>
            <w:rFonts w:asciiTheme="majorHAnsi" w:hAnsiTheme="majorHAnsi" w:cstheme="majorHAnsi"/>
            <w:color w:val="1155CC"/>
            <w:sz w:val="24"/>
            <w:szCs w:val="24"/>
            <w:u w:val="single"/>
          </w:rPr>
          <w:t>Risks</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NatRisks</w:t>
        </w:r>
        <w:proofErr w:type="spellEnd"/>
        <w:r w:rsidRPr="00AE2001">
          <w:rPr>
            <w:rFonts w:asciiTheme="majorHAnsi" w:hAnsiTheme="majorHAnsi" w:cstheme="majorHAnsi"/>
            <w:color w:val="1155CC"/>
            <w:sz w:val="24"/>
            <w:szCs w:val="24"/>
            <w:u w:val="single"/>
          </w:rPr>
          <w:t>)</w:t>
        </w:r>
      </w:hyperlink>
    </w:p>
    <w:p w14:paraId="00000009" w14:textId="77777777" w:rsidR="000F550B" w:rsidRPr="00AE2001" w:rsidRDefault="00000000" w:rsidP="00AE2001">
      <w:pPr>
        <w:numPr>
          <w:ilvl w:val="0"/>
          <w:numId w:val="1"/>
        </w:numPr>
        <w:spacing w:after="120"/>
        <w:jc w:val="both"/>
        <w:rPr>
          <w:rFonts w:asciiTheme="majorHAnsi" w:hAnsiTheme="majorHAnsi" w:cstheme="majorHAnsi"/>
          <w:sz w:val="24"/>
          <w:szCs w:val="24"/>
        </w:rPr>
      </w:pPr>
      <w:hyperlink r:id="rId7">
        <w:proofErr w:type="spellStart"/>
        <w:r w:rsidRPr="00AE2001">
          <w:rPr>
            <w:rFonts w:asciiTheme="majorHAnsi" w:hAnsiTheme="majorHAnsi" w:cstheme="majorHAnsi"/>
            <w:color w:val="1155CC"/>
            <w:sz w:val="24"/>
            <w:szCs w:val="24"/>
            <w:u w:val="single"/>
          </w:rPr>
          <w:t>Bridging</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the</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gap</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between</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volcano-tectonics</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and</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geochemistry</w:t>
        </w:r>
        <w:proofErr w:type="spellEnd"/>
      </w:hyperlink>
    </w:p>
    <w:p w14:paraId="0000000B" w14:textId="79F6640B" w:rsidR="000F550B" w:rsidRPr="00AE2001" w:rsidRDefault="00000000" w:rsidP="00AE2001">
      <w:pPr>
        <w:numPr>
          <w:ilvl w:val="0"/>
          <w:numId w:val="1"/>
        </w:numPr>
        <w:spacing w:after="120"/>
        <w:jc w:val="both"/>
        <w:rPr>
          <w:rFonts w:asciiTheme="majorHAnsi" w:hAnsiTheme="majorHAnsi" w:cstheme="majorHAnsi"/>
          <w:sz w:val="24"/>
          <w:szCs w:val="24"/>
        </w:rPr>
      </w:pPr>
      <w:hyperlink r:id="rId8">
        <w:r w:rsidRPr="00AE2001">
          <w:rPr>
            <w:rFonts w:asciiTheme="majorHAnsi" w:hAnsiTheme="majorHAnsi" w:cstheme="majorHAnsi"/>
            <w:color w:val="1155CC"/>
            <w:sz w:val="24"/>
            <w:szCs w:val="24"/>
            <w:u w:val="single"/>
          </w:rPr>
          <w:t xml:space="preserve">Climate </w:t>
        </w:r>
        <w:proofErr w:type="spellStart"/>
        <w:r w:rsidRPr="00AE2001">
          <w:rPr>
            <w:rFonts w:asciiTheme="majorHAnsi" w:hAnsiTheme="majorHAnsi" w:cstheme="majorHAnsi"/>
            <w:color w:val="1155CC"/>
            <w:sz w:val="24"/>
            <w:szCs w:val="24"/>
            <w:u w:val="single"/>
          </w:rPr>
          <w:t>and</w:t>
        </w:r>
        <w:proofErr w:type="spellEnd"/>
        <w:r w:rsidRPr="00AE2001">
          <w:rPr>
            <w:rFonts w:asciiTheme="majorHAnsi" w:hAnsiTheme="majorHAnsi" w:cstheme="majorHAnsi"/>
            <w:color w:val="1155CC"/>
            <w:sz w:val="24"/>
            <w:szCs w:val="24"/>
            <w:u w:val="single"/>
          </w:rPr>
          <w:t xml:space="preserve"> </w:t>
        </w:r>
        <w:proofErr w:type="spellStart"/>
        <w:r w:rsidRPr="00AE2001">
          <w:rPr>
            <w:rFonts w:asciiTheme="majorHAnsi" w:hAnsiTheme="majorHAnsi" w:cstheme="majorHAnsi"/>
            <w:color w:val="1155CC"/>
            <w:sz w:val="24"/>
            <w:szCs w:val="24"/>
            <w:u w:val="single"/>
          </w:rPr>
          <w:t>energy</w:t>
        </w:r>
        <w:proofErr w:type="spellEnd"/>
        <w:r w:rsidRPr="00AE2001">
          <w:rPr>
            <w:rFonts w:asciiTheme="majorHAnsi" w:hAnsiTheme="majorHAnsi" w:cstheme="majorHAnsi"/>
            <w:color w:val="1155CC"/>
            <w:sz w:val="24"/>
            <w:szCs w:val="24"/>
            <w:u w:val="single"/>
          </w:rPr>
          <w:t xml:space="preserve"> - An </w:t>
        </w:r>
        <w:proofErr w:type="spellStart"/>
        <w:r w:rsidRPr="00AE2001">
          <w:rPr>
            <w:rFonts w:asciiTheme="majorHAnsi" w:hAnsiTheme="majorHAnsi" w:cstheme="majorHAnsi"/>
            <w:color w:val="1155CC"/>
            <w:sz w:val="24"/>
            <w:szCs w:val="24"/>
            <w:u w:val="single"/>
          </w:rPr>
          <w:t>interdisciplinary</w:t>
        </w:r>
        <w:proofErr w:type="spellEnd"/>
        <w:r w:rsidRPr="00AE2001">
          <w:rPr>
            <w:rFonts w:asciiTheme="majorHAnsi" w:hAnsiTheme="majorHAnsi" w:cstheme="majorHAnsi"/>
            <w:color w:val="1155CC"/>
            <w:sz w:val="24"/>
            <w:szCs w:val="24"/>
            <w:u w:val="single"/>
          </w:rPr>
          <w:t xml:space="preserve"> perspective</w:t>
        </w:r>
      </w:hyperlink>
    </w:p>
    <w:p w14:paraId="0000000D" w14:textId="7F76AF3E" w:rsidR="000F550B" w:rsidRPr="00AE2001" w:rsidRDefault="00000000"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 xml:space="preserve">Acestora li se alătură și </w:t>
      </w:r>
      <w:hyperlink r:id="rId9">
        <w:r w:rsidRPr="00AE2001">
          <w:rPr>
            <w:rFonts w:asciiTheme="majorHAnsi" w:hAnsiTheme="majorHAnsi" w:cstheme="majorHAnsi"/>
            <w:color w:val="1155CC"/>
            <w:sz w:val="24"/>
            <w:szCs w:val="24"/>
            <w:u w:val="single"/>
          </w:rPr>
          <w:t xml:space="preserve">micro-programul Global </w:t>
        </w:r>
        <w:proofErr w:type="spellStart"/>
        <w:r w:rsidRPr="00AE2001">
          <w:rPr>
            <w:rFonts w:asciiTheme="majorHAnsi" w:hAnsiTheme="majorHAnsi" w:cstheme="majorHAnsi"/>
            <w:color w:val="1155CC"/>
            <w:sz w:val="24"/>
            <w:szCs w:val="24"/>
            <w:u w:val="single"/>
          </w:rPr>
          <w:t>Awareness</w:t>
        </w:r>
        <w:proofErr w:type="spellEnd"/>
      </w:hyperlink>
      <w:r w:rsidRPr="00AE2001">
        <w:rPr>
          <w:rFonts w:asciiTheme="majorHAnsi" w:hAnsiTheme="majorHAnsi" w:cstheme="majorHAnsi"/>
          <w:sz w:val="24"/>
          <w:szCs w:val="24"/>
        </w:rPr>
        <w:t>, pentru care vă mai puteți înscrie doar până pe 30 septembrie</w:t>
      </w:r>
      <w:r w:rsidR="00AE2001">
        <w:rPr>
          <w:rFonts w:asciiTheme="majorHAnsi" w:hAnsiTheme="majorHAnsi" w:cstheme="majorHAnsi"/>
          <w:sz w:val="24"/>
          <w:szCs w:val="24"/>
        </w:rPr>
        <w:t xml:space="preserve"> 2023.</w:t>
      </w:r>
      <w:r w:rsidRPr="00AE2001">
        <w:rPr>
          <w:rFonts w:asciiTheme="majorHAnsi" w:hAnsiTheme="majorHAnsi" w:cstheme="majorHAnsi"/>
          <w:sz w:val="24"/>
          <w:szCs w:val="24"/>
        </w:rPr>
        <w:t xml:space="preserve"> </w:t>
      </w:r>
    </w:p>
    <w:p w14:paraId="0000000F" w14:textId="0F70B0D6" w:rsidR="000F550B" w:rsidRPr="00AE2001" w:rsidRDefault="00000000"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 xml:space="preserve">Pentru cele 4 </w:t>
      </w:r>
      <w:proofErr w:type="spellStart"/>
      <w:r w:rsidRPr="00AE2001">
        <w:rPr>
          <w:rFonts w:asciiTheme="majorHAnsi" w:hAnsiTheme="majorHAnsi" w:cstheme="majorHAnsi"/>
          <w:sz w:val="24"/>
          <w:szCs w:val="24"/>
        </w:rPr>
        <w:t>BIPuri</w:t>
      </w:r>
      <w:proofErr w:type="spellEnd"/>
      <w:r w:rsidRPr="00AE2001">
        <w:rPr>
          <w:rFonts w:asciiTheme="majorHAnsi" w:hAnsiTheme="majorHAnsi" w:cstheme="majorHAnsi"/>
          <w:sz w:val="24"/>
          <w:szCs w:val="24"/>
        </w:rPr>
        <w:t xml:space="preserve">, data limită pentru aplicare este 31 octombrie 2023. Fiind deschise studenților din toate cele 11 universități membre ale Alianței, locurile pentru un astfel de curs sunt, implicit, limitate. Aplicațiile se pot depune pe platforma de mobilități CIVIS, accesibilă prin intermediul catalogului programelor, </w:t>
      </w:r>
      <w:hyperlink r:id="rId10" w:anchor="courses">
        <w:r w:rsidRPr="00AE2001">
          <w:rPr>
            <w:rFonts w:asciiTheme="majorHAnsi" w:hAnsiTheme="majorHAnsi" w:cstheme="majorHAnsi"/>
            <w:color w:val="1155CC"/>
            <w:sz w:val="24"/>
            <w:szCs w:val="24"/>
            <w:u w:val="single"/>
          </w:rPr>
          <w:t>aici</w:t>
        </w:r>
      </w:hyperlink>
      <w:r w:rsidRPr="00AE2001">
        <w:rPr>
          <w:rFonts w:asciiTheme="majorHAnsi" w:hAnsiTheme="majorHAnsi" w:cstheme="majorHAnsi"/>
          <w:sz w:val="24"/>
          <w:szCs w:val="24"/>
        </w:rPr>
        <w:t>.</w:t>
      </w:r>
    </w:p>
    <w:p w14:paraId="00000011" w14:textId="713CC7F3" w:rsidR="000F550B" w:rsidRPr="00AE2001" w:rsidRDefault="00000000"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 xml:space="preserve">Având în vedere că, pentru majoritatea programelor, selecția se face în baza CV-ului și a scrisorii de intenție, candidații sunt sfătuiți să acorde o atenție deosebită acestor documente. De asemenea, un minim nivel B1 de limbă engleză este obligatoriu pentru toate </w:t>
      </w:r>
      <w:proofErr w:type="spellStart"/>
      <w:r w:rsidRPr="00AE2001">
        <w:rPr>
          <w:rFonts w:asciiTheme="majorHAnsi" w:hAnsiTheme="majorHAnsi" w:cstheme="majorHAnsi"/>
          <w:sz w:val="24"/>
          <w:szCs w:val="24"/>
        </w:rPr>
        <w:t>BIPurile</w:t>
      </w:r>
      <w:proofErr w:type="spellEnd"/>
      <w:r w:rsidRPr="00AE2001">
        <w:rPr>
          <w:rFonts w:asciiTheme="majorHAnsi" w:hAnsiTheme="majorHAnsi" w:cstheme="majorHAnsi"/>
          <w:sz w:val="24"/>
          <w:szCs w:val="24"/>
        </w:rPr>
        <w:t xml:space="preserve"> CIVIS, multe dintre ele solicitând și un document doveditor în acest sens.</w:t>
      </w:r>
    </w:p>
    <w:p w14:paraId="00000013" w14:textId="43CF96AF" w:rsidR="000F550B" w:rsidRPr="00AE2001" w:rsidRDefault="00000000"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 xml:space="preserve">Fiecare BIP este dezvoltat, organizat și predat de cadre didactice de la cel puțin trei universități membre CIVIS și combină predarea online cu 5 zile de mobilitate fizică într-una dintre țările de reședință ale universităților membre CIVIS. Acest format inovativ, care combină sesiunile online cu întâlnirile față în față, deschide drumul către noi oportunități de studiu internațional pentru studenții CIVIS. Perioada de mobilitate fizică este susținută financiar din fondurile CIVIS, cu condiția ca </w:t>
      </w:r>
      <w:proofErr w:type="spellStart"/>
      <w:r w:rsidRPr="00AE2001">
        <w:rPr>
          <w:rFonts w:asciiTheme="majorHAnsi" w:hAnsiTheme="majorHAnsi" w:cstheme="majorHAnsi"/>
          <w:sz w:val="24"/>
          <w:szCs w:val="24"/>
        </w:rPr>
        <w:t>aplicantul</w:t>
      </w:r>
      <w:proofErr w:type="spellEnd"/>
      <w:r w:rsidRPr="00AE2001">
        <w:rPr>
          <w:rFonts w:asciiTheme="majorHAnsi" w:hAnsiTheme="majorHAnsi" w:cstheme="majorHAnsi"/>
          <w:sz w:val="24"/>
          <w:szCs w:val="24"/>
        </w:rPr>
        <w:t xml:space="preserve"> să nu beneficieze simultan de altă bursă Erasmus.</w:t>
      </w:r>
    </w:p>
    <w:p w14:paraId="00000015" w14:textId="0659E155" w:rsidR="000F550B" w:rsidRPr="00AE2001" w:rsidRDefault="00000000"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Construit în baza conceptului de excelență academică, acest tip de program răzbate granițele subiectelor, ciclurilor și domeniilor tradiționale de studiu, ceea ce garantează participanților o viziune nouă asupra temelor dezbătute.</w:t>
      </w:r>
    </w:p>
    <w:p w14:paraId="00000017" w14:textId="5F923075" w:rsidR="000F550B" w:rsidRPr="00AE2001" w:rsidRDefault="00000000" w:rsidP="00AE2001">
      <w:pPr>
        <w:spacing w:after="120"/>
        <w:jc w:val="both"/>
        <w:rPr>
          <w:rFonts w:asciiTheme="majorHAnsi" w:hAnsiTheme="majorHAnsi" w:cstheme="majorHAnsi"/>
          <w:sz w:val="24"/>
          <w:szCs w:val="24"/>
        </w:rPr>
      </w:pPr>
      <w:r w:rsidRPr="00AE2001">
        <w:rPr>
          <w:rFonts w:asciiTheme="majorHAnsi" w:hAnsiTheme="majorHAnsi" w:cstheme="majorHAnsi"/>
          <w:sz w:val="24"/>
          <w:szCs w:val="24"/>
        </w:rPr>
        <w:t>Absolvirea unui BIP este recompensată cu 3-6 ECTS și menționată în pașaportul CIVIS al fiecărui participant.</w:t>
      </w:r>
    </w:p>
    <w:p w14:paraId="00000018" w14:textId="77777777" w:rsidR="000F550B" w:rsidRPr="00AE2001" w:rsidRDefault="00000000" w:rsidP="00AE2001">
      <w:pPr>
        <w:spacing w:after="120"/>
        <w:jc w:val="both"/>
        <w:rPr>
          <w:rFonts w:asciiTheme="majorHAnsi" w:hAnsiTheme="majorHAnsi" w:cstheme="majorHAnsi"/>
          <w:i/>
          <w:sz w:val="24"/>
          <w:szCs w:val="24"/>
        </w:rPr>
      </w:pPr>
      <w:r w:rsidRPr="00AE2001">
        <w:rPr>
          <w:rFonts w:asciiTheme="majorHAnsi" w:hAnsiTheme="majorHAnsi" w:cstheme="majorHAnsi"/>
          <w:i/>
          <w:sz w:val="24"/>
          <w:szCs w:val="24"/>
        </w:rPr>
        <w:lastRenderedPageBreak/>
        <w:t xml:space="preserve">CIVIS este o Alianță Universitară Europeană care reunește 11 universități: </w:t>
      </w:r>
      <w:proofErr w:type="spellStart"/>
      <w:r w:rsidRPr="00AE2001">
        <w:rPr>
          <w:rFonts w:asciiTheme="majorHAnsi" w:hAnsiTheme="majorHAnsi" w:cstheme="majorHAnsi"/>
          <w:i/>
          <w:sz w:val="24"/>
          <w:szCs w:val="24"/>
        </w:rPr>
        <w:t>Aix</w:t>
      </w:r>
      <w:proofErr w:type="spellEnd"/>
      <w:r w:rsidRPr="00AE2001">
        <w:rPr>
          <w:rFonts w:asciiTheme="majorHAnsi" w:hAnsiTheme="majorHAnsi" w:cstheme="majorHAnsi"/>
          <w:i/>
          <w:sz w:val="24"/>
          <w:szCs w:val="24"/>
        </w:rPr>
        <w:t xml:space="preserve">-Marseille </w:t>
      </w:r>
      <w:proofErr w:type="spellStart"/>
      <w:r w:rsidRPr="00AE2001">
        <w:rPr>
          <w:rFonts w:asciiTheme="majorHAnsi" w:hAnsiTheme="majorHAnsi" w:cstheme="majorHAnsi"/>
          <w:i/>
          <w:sz w:val="24"/>
          <w:szCs w:val="24"/>
        </w:rPr>
        <w:t>Université</w:t>
      </w:r>
      <w:proofErr w:type="spellEnd"/>
      <w:r w:rsidRPr="00AE2001">
        <w:rPr>
          <w:rFonts w:asciiTheme="majorHAnsi" w:hAnsiTheme="majorHAnsi" w:cstheme="majorHAnsi"/>
          <w:i/>
          <w:sz w:val="24"/>
          <w:szCs w:val="24"/>
        </w:rPr>
        <w:t xml:space="preserve"> (Franța), Universitatea Națională și </w:t>
      </w:r>
      <w:proofErr w:type="spellStart"/>
      <w:r w:rsidRPr="00AE2001">
        <w:rPr>
          <w:rFonts w:asciiTheme="majorHAnsi" w:hAnsiTheme="majorHAnsi" w:cstheme="majorHAnsi"/>
          <w:i/>
          <w:sz w:val="24"/>
          <w:szCs w:val="24"/>
        </w:rPr>
        <w:t>Kapodistriană</w:t>
      </w:r>
      <w:proofErr w:type="spellEnd"/>
      <w:r w:rsidRPr="00AE2001">
        <w:rPr>
          <w:rFonts w:asciiTheme="majorHAnsi" w:hAnsiTheme="majorHAnsi" w:cstheme="majorHAnsi"/>
          <w:i/>
          <w:sz w:val="24"/>
          <w:szCs w:val="24"/>
        </w:rPr>
        <w:t xml:space="preserve"> din Atena (Grecia), Universitatea din București (România), </w:t>
      </w:r>
      <w:proofErr w:type="spellStart"/>
      <w:r w:rsidRPr="00AE2001">
        <w:rPr>
          <w:rFonts w:asciiTheme="majorHAnsi" w:hAnsiTheme="majorHAnsi" w:cstheme="majorHAnsi"/>
          <w:i/>
          <w:sz w:val="24"/>
          <w:szCs w:val="24"/>
        </w:rPr>
        <w:t>Université</w:t>
      </w:r>
      <w:proofErr w:type="spellEnd"/>
      <w:r w:rsidRPr="00AE2001">
        <w:rPr>
          <w:rFonts w:asciiTheme="majorHAnsi" w:hAnsiTheme="majorHAnsi" w:cstheme="majorHAnsi"/>
          <w:i/>
          <w:sz w:val="24"/>
          <w:szCs w:val="24"/>
        </w:rPr>
        <w:t xml:space="preserve"> </w:t>
      </w:r>
      <w:proofErr w:type="spellStart"/>
      <w:r w:rsidRPr="00AE2001">
        <w:rPr>
          <w:rFonts w:asciiTheme="majorHAnsi" w:hAnsiTheme="majorHAnsi" w:cstheme="majorHAnsi"/>
          <w:i/>
          <w:sz w:val="24"/>
          <w:szCs w:val="24"/>
        </w:rPr>
        <w:t>Libre</w:t>
      </w:r>
      <w:proofErr w:type="spellEnd"/>
      <w:r w:rsidRPr="00AE2001">
        <w:rPr>
          <w:rFonts w:asciiTheme="majorHAnsi" w:hAnsiTheme="majorHAnsi" w:cstheme="majorHAnsi"/>
          <w:i/>
          <w:sz w:val="24"/>
          <w:szCs w:val="24"/>
        </w:rPr>
        <w:t xml:space="preserve"> de Bruxelles (Belgia), </w:t>
      </w:r>
      <w:proofErr w:type="spellStart"/>
      <w:r w:rsidRPr="00AE2001">
        <w:rPr>
          <w:rFonts w:asciiTheme="majorHAnsi" w:hAnsiTheme="majorHAnsi" w:cstheme="majorHAnsi"/>
          <w:i/>
          <w:sz w:val="24"/>
          <w:szCs w:val="24"/>
        </w:rPr>
        <w:t>Universidad</w:t>
      </w:r>
      <w:proofErr w:type="spellEnd"/>
      <w:r w:rsidRPr="00AE2001">
        <w:rPr>
          <w:rFonts w:asciiTheme="majorHAnsi" w:hAnsiTheme="majorHAnsi" w:cstheme="majorHAnsi"/>
          <w:i/>
          <w:sz w:val="24"/>
          <w:szCs w:val="24"/>
        </w:rPr>
        <w:t xml:space="preserve"> </w:t>
      </w:r>
      <w:proofErr w:type="spellStart"/>
      <w:r w:rsidRPr="00AE2001">
        <w:rPr>
          <w:rFonts w:asciiTheme="majorHAnsi" w:hAnsiTheme="majorHAnsi" w:cstheme="majorHAnsi"/>
          <w:i/>
          <w:sz w:val="24"/>
          <w:szCs w:val="24"/>
        </w:rPr>
        <w:t>Autónoma</w:t>
      </w:r>
      <w:proofErr w:type="spellEnd"/>
      <w:r w:rsidRPr="00AE2001">
        <w:rPr>
          <w:rFonts w:asciiTheme="majorHAnsi" w:hAnsiTheme="majorHAnsi" w:cstheme="majorHAnsi"/>
          <w:i/>
          <w:sz w:val="24"/>
          <w:szCs w:val="24"/>
        </w:rPr>
        <w:t xml:space="preserve"> de Madrid (Spania), </w:t>
      </w:r>
      <w:proofErr w:type="spellStart"/>
      <w:r w:rsidRPr="00AE2001">
        <w:rPr>
          <w:rFonts w:asciiTheme="majorHAnsi" w:hAnsiTheme="majorHAnsi" w:cstheme="majorHAnsi"/>
          <w:i/>
          <w:sz w:val="24"/>
          <w:szCs w:val="24"/>
        </w:rPr>
        <w:t>Sapienza</w:t>
      </w:r>
      <w:proofErr w:type="spellEnd"/>
      <w:r w:rsidRPr="00AE2001">
        <w:rPr>
          <w:rFonts w:asciiTheme="majorHAnsi" w:hAnsiTheme="majorHAnsi" w:cstheme="majorHAnsi"/>
          <w:i/>
          <w:sz w:val="24"/>
          <w:szCs w:val="24"/>
        </w:rPr>
        <w:t xml:space="preserve"> </w:t>
      </w:r>
      <w:proofErr w:type="spellStart"/>
      <w:r w:rsidRPr="00AE2001">
        <w:rPr>
          <w:rFonts w:asciiTheme="majorHAnsi" w:hAnsiTheme="majorHAnsi" w:cstheme="majorHAnsi"/>
          <w:i/>
          <w:sz w:val="24"/>
          <w:szCs w:val="24"/>
        </w:rPr>
        <w:t>Università</w:t>
      </w:r>
      <w:proofErr w:type="spellEnd"/>
      <w:r w:rsidRPr="00AE2001">
        <w:rPr>
          <w:rFonts w:asciiTheme="majorHAnsi" w:hAnsiTheme="majorHAnsi" w:cstheme="majorHAnsi"/>
          <w:i/>
          <w:sz w:val="24"/>
          <w:szCs w:val="24"/>
        </w:rPr>
        <w:t xml:space="preserve"> di Roma (Italia), Universitatea Stockholm (Suedia), Eberhard </w:t>
      </w:r>
      <w:proofErr w:type="spellStart"/>
      <w:r w:rsidRPr="00AE2001">
        <w:rPr>
          <w:rFonts w:asciiTheme="majorHAnsi" w:hAnsiTheme="majorHAnsi" w:cstheme="majorHAnsi"/>
          <w:i/>
          <w:sz w:val="24"/>
          <w:szCs w:val="24"/>
        </w:rPr>
        <w:t>Karls</w:t>
      </w:r>
      <w:proofErr w:type="spellEnd"/>
      <w:r w:rsidRPr="00AE2001">
        <w:rPr>
          <w:rFonts w:asciiTheme="majorHAnsi" w:hAnsiTheme="majorHAnsi" w:cstheme="majorHAnsi"/>
          <w:i/>
          <w:sz w:val="24"/>
          <w:szCs w:val="24"/>
        </w:rPr>
        <w:t xml:space="preserve"> </w:t>
      </w:r>
      <w:proofErr w:type="spellStart"/>
      <w:r w:rsidRPr="00AE2001">
        <w:rPr>
          <w:rFonts w:asciiTheme="majorHAnsi" w:hAnsiTheme="majorHAnsi" w:cstheme="majorHAnsi"/>
          <w:i/>
          <w:sz w:val="24"/>
          <w:szCs w:val="24"/>
        </w:rPr>
        <w:t>Universität</w:t>
      </w:r>
      <w:proofErr w:type="spellEnd"/>
      <w:r w:rsidRPr="00AE2001">
        <w:rPr>
          <w:rFonts w:asciiTheme="majorHAnsi" w:hAnsiTheme="majorHAnsi" w:cstheme="majorHAnsi"/>
          <w:i/>
          <w:sz w:val="24"/>
          <w:szCs w:val="24"/>
        </w:rPr>
        <w:t xml:space="preserve"> </w:t>
      </w:r>
      <w:proofErr w:type="spellStart"/>
      <w:r w:rsidRPr="00AE2001">
        <w:rPr>
          <w:rFonts w:asciiTheme="majorHAnsi" w:hAnsiTheme="majorHAnsi" w:cstheme="majorHAnsi"/>
          <w:i/>
          <w:sz w:val="24"/>
          <w:szCs w:val="24"/>
        </w:rPr>
        <w:t>Tübingen</w:t>
      </w:r>
      <w:proofErr w:type="spellEnd"/>
      <w:r w:rsidRPr="00AE2001">
        <w:rPr>
          <w:rFonts w:asciiTheme="majorHAnsi" w:hAnsiTheme="majorHAnsi" w:cstheme="majorHAnsi"/>
          <w:i/>
          <w:sz w:val="24"/>
          <w:szCs w:val="24"/>
        </w:rPr>
        <w:t xml:space="preserve"> (Germania), Universitatea din Glasgow (Marea Britanie), Universitatea Paris </w:t>
      </w:r>
      <w:proofErr w:type="spellStart"/>
      <w:r w:rsidRPr="00AE2001">
        <w:rPr>
          <w:rFonts w:asciiTheme="majorHAnsi" w:hAnsiTheme="majorHAnsi" w:cstheme="majorHAnsi"/>
          <w:i/>
          <w:sz w:val="24"/>
          <w:szCs w:val="24"/>
        </w:rPr>
        <w:t>Lodron</w:t>
      </w:r>
      <w:proofErr w:type="spellEnd"/>
      <w:r w:rsidRPr="00AE2001">
        <w:rPr>
          <w:rFonts w:asciiTheme="majorHAnsi" w:hAnsiTheme="majorHAnsi" w:cstheme="majorHAnsi"/>
          <w:i/>
          <w:sz w:val="24"/>
          <w:szCs w:val="24"/>
        </w:rPr>
        <w:t xml:space="preserve"> din Salzburg (Austria) și Universitatea din Lausanne (Elveția). Selectată de Comisia Europeană între primele 17 universități-pilot europene, Alianța CIVIS reunește aproximativ o jumătate de milion de studenți și peste 70 000 de membri ai personalului, inclusiv 37 400 de cadre universitare și cercetători.</w:t>
      </w:r>
    </w:p>
    <w:p w14:paraId="00000019" w14:textId="77777777" w:rsidR="000F550B" w:rsidRPr="00AE2001" w:rsidRDefault="000F550B" w:rsidP="00AE2001">
      <w:pPr>
        <w:spacing w:after="120"/>
        <w:jc w:val="both"/>
        <w:rPr>
          <w:rFonts w:asciiTheme="majorHAnsi" w:hAnsiTheme="majorHAnsi" w:cstheme="majorHAnsi"/>
          <w:sz w:val="24"/>
          <w:szCs w:val="24"/>
        </w:rPr>
      </w:pPr>
    </w:p>
    <w:p w14:paraId="0000001A" w14:textId="77777777" w:rsidR="000F550B" w:rsidRPr="00AE2001" w:rsidRDefault="000F550B" w:rsidP="00AE2001">
      <w:pPr>
        <w:spacing w:after="120"/>
        <w:jc w:val="both"/>
        <w:rPr>
          <w:rFonts w:asciiTheme="majorHAnsi" w:hAnsiTheme="majorHAnsi" w:cstheme="majorHAnsi"/>
          <w:sz w:val="24"/>
          <w:szCs w:val="24"/>
        </w:rPr>
      </w:pPr>
    </w:p>
    <w:sectPr w:rsidR="000F550B" w:rsidRPr="00AE200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031C9"/>
    <w:multiLevelType w:val="multilevel"/>
    <w:tmpl w:val="368C18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052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50B"/>
    <w:rsid w:val="000F550B"/>
    <w:rsid w:val="00AE2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BA712"/>
  <w15:docId w15:val="{9B2F803F-A939-4684-A8AF-068B96A1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vis.eu/en/civis-courses/climate-and-energy-an-interdisciplinary-perspective" TargetMode="External"/><Relationship Id="rId3" Type="http://schemas.openxmlformats.org/officeDocument/2006/relationships/settings" Target="settings.xml"/><Relationship Id="rId7" Type="http://schemas.openxmlformats.org/officeDocument/2006/relationships/hyperlink" Target="https://civis.eu/en/civis-courses/bridging-the-gap-between-volcano-tectonics-and-geochemist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civis-courses/natural-processes-and-climate-risks-natrisks" TargetMode="External"/><Relationship Id="rId11" Type="http://schemas.openxmlformats.org/officeDocument/2006/relationships/fontTable" Target="fontTable.xml"/><Relationship Id="rId5" Type="http://schemas.openxmlformats.org/officeDocument/2006/relationships/hyperlink" Target="https://civis.eu/en/civis-courses/regional-climate-change-impact-cumulative-effects-and-mitigation-scenarios" TargetMode="External"/><Relationship Id="rId10" Type="http://schemas.openxmlformats.org/officeDocument/2006/relationships/hyperlink" Target="https://civis.eu/en/civis-courses?area%5B%5D=5" TargetMode="External"/><Relationship Id="rId4" Type="http://schemas.openxmlformats.org/officeDocument/2006/relationships/webSettings" Target="webSettings.xml"/><Relationship Id="rId9" Type="http://schemas.openxmlformats.org/officeDocument/2006/relationships/hyperlink" Target="https://civis.eu/en/civis-courses/global-aware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596</Words>
  <Characters>3402</Characters>
  <Application>Microsoft Office Word</Application>
  <DocSecurity>0</DocSecurity>
  <Lines>28</Lines>
  <Paragraphs>7</Paragraphs>
  <ScaleCrop>false</ScaleCrop>
  <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IOAN MICLEA</cp:lastModifiedBy>
  <cp:revision>3</cp:revision>
  <dcterms:created xsi:type="dcterms:W3CDTF">2023-09-26T12:04:00Z</dcterms:created>
  <dcterms:modified xsi:type="dcterms:W3CDTF">2023-09-26T12:11:00Z</dcterms:modified>
</cp:coreProperties>
</file>